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SU200020 vom 25. Juni 2020</w:t>
      </w:r>
    </w:p>
    <w:p>
      <w:r>
        <w:t>ZH Obergericht, 2020-06-25, DE</w:t>
      </w:r>
    </w:p>
    <w:p>
      <w:r>
        <w:rPr>
          <w:b/>
        </w:rPr>
        <w:t xml:space="preserve">Quelle: </w:t>
      </w:r>
      <w:r>
        <w:t>https://mcp.opencaselaw.ch/entscheid/zh_obergericht_SU200020</w:t>
      </w:r>
    </w:p>
    <w:p>
      <w:r>
        <w:t>FR: ZH_OBERGERICHT SU200020 du 25 juin 2020</w:t>
      </w:r>
    </w:p>
    <w:p>
      <w:r>
        <w:t>IT: ZH_OBERGERICHT SU200020 del 25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Gegen das Urteil des Bezirksgerichtes Uster, Einzelgericht, vom 11. März 2020 hat das Statthalteramt Bezirk Uster zwar Berufung angemeldet (Urk. 36), innert der Frist von Art. 399 Abs. 3 StPO aber keine Berufungserklärung einge- reicht. Deshalb ist auf die Berufung gestützt auf Art. 403 Abs. 1 und Abs. 3 StPO nicht einzutreten.</w:t>
      </w:r>
    </w:p>
    <w:p>
      <w:r>
        <w:rPr>
          <w:b/>
        </w:rPr>
        <w:t>E. 2</w:t>
      </w:r>
    </w:p>
    <w:p>
      <w:r>
        <w:t>Im Rechtsmittelverfahren tragen die Parteien die Kosten nach Massgabe ihres Obsiegens oder Unterliegens. Das Nichteintreten auf ein Rechtsmittel kommt zwar einem Unterliegen gleich (Art. 428 Abs. 1 StPO). Wenn jedoch die Staatsanwaltschaft oder eine Behörde nach Art. 104 Abs. 2 StPO unterliegt, trägt der verfahrensführende Kanton die Kosten (SCHMID/JOSITSCH, StPO Praxiskom- mentar, 3. Aufl. 2017, Art. 428 N 3). Die Gerichtsgebühr fällt daher ausser Ansatz und die Kosten des Berufungsverfahrens sind auf die Gerichtskasse zu nehmen.</w:t>
      </w:r>
    </w:p>
    <w:p>
      <w:r>
        <w:rPr>
          <w:b/>
        </w:rPr>
        <w:t>E. 3</w:t>
      </w:r>
    </w:p>
    <w:p>
      <w:r>
        <w:t>Dem Verteidiger des Beschuldigten sind im Berufungsverfahren Aufwen- dungen und Auslagen von Fr. 306.20 (inkl. MwSt.) angefallen (Urk. 41). Dem Be- schuldigten ist daher eine Prozessentschädigung in diesem Betrag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