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SU200012 vom 3. August 2020</w:t>
      </w:r>
    </w:p>
    <w:p>
      <w:r>
        <w:t>ZH Obergericht, 2020-08-03, DE</w:t>
      </w:r>
    </w:p>
    <w:p>
      <w:r>
        <w:rPr>
          <w:b/>
        </w:rPr>
        <w:t xml:space="preserve">Quelle: </w:t>
      </w:r>
      <w:r>
        <w:t>https://mcp.opencaselaw.ch/entscheid/zh_obergericht_SU200012</w:t>
      </w:r>
    </w:p>
    <w:p>
      <w:r>
        <w:t>FR: ZH_OBERGERICHT SU200012 du 3 août 2020</w:t>
      </w:r>
    </w:p>
    <w:p>
      <w:r>
        <w:t>IT: ZH_OBERGERICHT SU200012 del 3 agosto 2020</w:t>
      </w:r>
    </w:p>
    <w:p>
      <w:pPr>
        <w:pStyle w:val="Heading2"/>
      </w:pPr>
      <w:r>
        <w:t>Erwägungen</w:t>
      </w:r>
    </w:p>
    <w:p>
      <w:r>
        <w:rPr>
          <w:b/>
        </w:rPr>
        <w:t>E. 1</w:t>
      </w:r>
    </w:p>
    <w:p>
      <w:r>
        <w:t>Zum Verfahrensgang bis zum vorinstanzlichen Urteil kann zwecks Vermei- dung von Wiederholungen auf die Erwägungen der Vorinstanz im angefochtenen Entscheid verwiesen werden (Urk. 33 S. 3-5; Art. 82 Abs. 4 StPO).</w:t>
      </w:r>
    </w:p>
    <w:p>
      <w:r>
        <w:rPr>
          <w:b/>
        </w:rPr>
        <w:t>E. 2</w:t>
      </w:r>
    </w:p>
    <w:p>
      <w:r>
        <w:t>Mit Urteil des Bezirksgerichtes Zürich, 10. Abteilung - Einzelgericht, vom</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- 13 - Die Beschwerdelegitimation und die weiteren Beschwerdevoraussetzungen richten sich nach den massgeblichen Bestimmungen des Bundesgerichts- gesetzes. Obergericht des Kantons Zürich II. Strafkammer Zürich, 3. August 2020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