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SU190043 vom 11. Dezember 2019</w:t>
      </w:r>
    </w:p>
    <w:p>
      <w:r>
        <w:t>ZH Obergericht, 2019-12-11, DE</w:t>
      </w:r>
    </w:p>
    <w:p>
      <w:r>
        <w:rPr>
          <w:b/>
        </w:rPr>
        <w:t xml:space="preserve">Quelle: </w:t>
      </w:r>
      <w:r>
        <w:t>https://mcp.opencaselaw.ch/entscheid/zh_obergericht_SU190043</w:t>
      </w:r>
    </w:p>
    <w:p>
      <w:r>
        <w:t>FR: ZH_OBERGERICHT SU190043 du 11 décembre 2019</w:t>
      </w:r>
    </w:p>
    <w:p>
      <w:r>
        <w:t>IT: ZH_OBERGERICHT SU190043 del 11 dicembre 2019</w:t>
      </w:r>
    </w:p>
    <w:p>
      <w:pPr>
        <w:pStyle w:val="Heading2"/>
      </w:pPr>
      <w:r>
        <w:t>Erwägungen</w:t>
      </w:r>
    </w:p>
    <w:p>
      <w:r>
        <w:rPr>
          <w:b/>
        </w:rPr>
        <w:t>E. 1</w:t>
      </w:r>
    </w:p>
    <w:p>
      <w:r>
        <w:t>Mit Urteil vom 8. Mai 2019 wurde die Beschuldigte A._____ vom Bezirksgericht Zürich wegen mehrfacher unzulässiger Betreibung der Salonprostitution schuldig gesprochen. Von weiteren Vorwürfen wurde sie freigesprochen resp. wurde das Verfahren eingestellt. Die Beschuldigte wurde mit einer Busse von Fr. 800.--, un- ter Festsetzung einer Ersatzfreiheitsstrafe von 8 Tagen, bestraft (Urk. 94 S. 46 ff.). Gegen das schriftlich im Dispositiv eröffnete Urteil (Urk. 85/1-2) meldete das Statthalteramt am 14. Mai 2019 fristgerecht Berufung an (Urk. 86). Die Beru- fungsanmeldung der Beschuldigten vom 23. Mai 2019 erfolgte ebenfalls fristge- recht (Urk. 88). Nach Zustellung des begründeten Urteils am 27. Juni 2019 (Urk. 92/1-2) reichte das Statthalteramt am 12. Juli 2019 seine Berufungserklärung ein (Urk. 98). Die Beschuldigte reichte bereits am 4. Juni 2019, und damit vor Erhalt des begründeten Urteils, eine als Berufungserklärung bezeichnete Eingabe ein (Urk. 97). Mit Präsidialverfügung vom 21. August 2019 wurde der Beschuldigten die Berufungserklärung des Statthalteramtes zugestellt und Frist für eine allfällige Anschlussberufung angesetzt (Urk. 105). Die korrekt zugestellte Verfügung wurde nicht abgeholt (Urk. 106). Am 30. September 2019 – und damit nicht fristgerecht – erhob die Beschuldigte schliesslich Anschlussberufung (Urk. 109). Sinngemäss beantragt sie einen vollumfänglichen Freispruch.</w:t>
      </w:r>
    </w:p>
    <w:p>
      <w:r>
        <w:rPr>
          <w:b/>
        </w:rPr>
        <w:t>E. 2</w:t>
      </w:r>
    </w:p>
    <w:p>
      <w:r>
        <w:t>Das Statthalteramt des Bezirks Zürich macht in seiner Berufungserklärung im Wesentlichen geltend, das vorinstanzliche Hauptverfahren sei nicht korrekt durchgeführt worden. Die Beschuldigte sei zur Hauptverhandlung unentschuldigt nicht erschienen und habe sich auch nicht vertreten lassen. Daher hätte die Vor- instanz in Anwendung von Art. 356 Abs. 4 StPO einen Rückzug der Einsprache annehmen müssen. Unzulässig sei auch die Dispensation der Beschuldigten im Sinne von Art. 336 Abs. 3 StPO, zumal diese nie um Dispensation ersucht habe und ihre Befragung an der Hauptverhandlung angesichts des fehlenden Geständ- nisses von zentraler Bedeutung gewesen wäre. Im Hauptstandpunkt beantragt das Statthalteramt daher, es sei das vorinstanzliche Urteil aufzuheben und der dem Verfahren zugrunde liegende Strafbefehl als rechtskräftig zu bestätigen. Eventualiter sei die Sache zwecks Neubeurteilung und Wiederholung der Haupt-</w:t>
      </w:r>
    </w:p>
    <w:p>
      <w:r>
        <w:t>- 3 - verhandlung mit Befragung der Beschuldigten an die Vorinstanz zurückzuweisen (Urk. 98). Angesichts dieser Anträge wurde den Parteien zur Wahrung des recht- lichen Gehörs mit Präsidialverfügung vom 27. November 2019 Frist zur Stellung- nahme hinsichtlich einer allfälligen Rückweisung angesetzt (Urk. 116; Art. 107 Abs. 1 lit. d StPO; vgl. auch N. Schmid, StPO-Praxiskommentar, 3. Auflage 2018, Art. 409 N 4). Innert der angesetzten Frist von 10 Tagen ging trotz korrekter Zu- stellung keine Stellungnahme zur Frage der Rückweisung ein (Urk. 117). Aller- dings hielt die Beschuldigte innert dieser Frist in einem Schreiben vom</w:t>
      </w:r>
    </w:p>
    <w:p>
      <w:r>
        <w:rPr>
          <w:b/>
        </w:rPr>
        <w:t>E. 6</w:t>
      </w:r>
    </w:p>
    <w:p>
      <w:r>
        <w:t>Weist das erstinstanzliche Verfahren wesentliche Mängel auf, die im Beru- fungsverfahren nicht geheilt werden können, hebt das Berufungsgericht das ange- fochtene Urteil auf und weist die Sache zur Durchführung einer neuen Hauptver- handlung und Entscheidfällung an das erstinstanzliche Gericht zurück (Art. 409 Abs. 1 und 2 StPO). Die Durchführung eines nicht im Gesetz vorgesehenen erst- instanzlichen Verfahrens kann nicht im Berufungsverfahren geheilt werden. Der vorinstanzliche Entscheid ist daher aufzuheben und das Verfahren im Sinne der Erwägungen an die Vorinstanz zurückzuweisen. Das vorliegende Berufungsver- fahren ist als dadurch erledigt abzuschreiben, wobei die Kosten des Berufungs- verfahrens auf die Gerichtskasse zu nehmen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