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SU190020 vom 26. März 2020</w:t>
      </w:r>
    </w:p>
    <w:p>
      <w:r>
        <w:t>ZH Obergericht, 2020-03-26, DE</w:t>
      </w:r>
    </w:p>
    <w:p>
      <w:r>
        <w:rPr>
          <w:b/>
        </w:rPr>
        <w:t xml:space="preserve">Quelle: </w:t>
      </w:r>
      <w:r>
        <w:t>https://mcp.opencaselaw.ch/entscheid/zh_obergericht_SU190020</w:t>
      </w:r>
    </w:p>
    <w:p>
      <w:r>
        <w:t>FR: ZH_OBERGERICHT SU190020 du 26 mars 2020</w:t>
      </w:r>
    </w:p>
    <w:p>
      <w:r>
        <w:t>IT: ZH_OBERGERICHT SU190020 del 26 marzo 2020</w:t>
      </w:r>
    </w:p>
    <w:p>
      <w:pPr>
        <w:pStyle w:val="Heading2"/>
      </w:pPr>
      <w:r>
        <w:t>Erwägungen</w:t>
      </w:r>
    </w:p>
    <w:p>
      <w:r>
        <w:rPr>
          <w:b/>
        </w:rPr>
        <w:t>E. 1</w:t>
      </w:r>
    </w:p>
    <w:p>
      <w:r>
        <w:t>Mit Urteil des Bezirksgerichtes Dietikon, Einzelgericht in Strafsachen, vom 21. März 2019 wurde der Beschuldigte wegen Verstosses gegen das Planungs- und Baugesetz des Kantons Zürich (nachfolgend PBG) schuldig gesprochen und zu einer Busse von Fr. 4'000.– verurteilt, wobei für den Fall der schuldhaften Nichtbezahlung eine Ersatzfreiheitsstrafe von 40 Tagen festgesetzt wurde. Die Kosten der Untersuchung und des gerichtlichen Verfahrens wurden ihm auferlegt.</w:t>
      </w:r>
    </w:p>
    <w:p>
      <w:r>
        <w:rPr>
          <w:b/>
        </w:rPr>
        <w:t>E. 2</w:t>
      </w:r>
    </w:p>
    <w:p>
      <w:r>
        <w:t>Bilden ferner – wie im vorliegenden Fall – ausschliesslich Übertretungen Gegenstand des erstinstanzlichen Hauptverfahrens, kann mit der Berufung nur geltend gemacht werden, das Urteil sei rechtsfehlerhaft oder die Feststellung des Sachverhaltes sei offensichtlich unrichtig oder beruhe auf einer Rechtsverletzung. Neue Behauptungen und Beweise können nicht vorgebracht werden (Art. 398 Abs. 4 StPO).</w:t>
      </w:r>
    </w:p>
    <w:p>
      <w:r>
        <w:rPr>
          <w:b/>
        </w:rPr>
        <w:t>E. 2.1</w:t>
      </w:r>
    </w:p>
    <w:p>
      <w:r>
        <w:t>Nach dem Anklagegrundsatz bestimmt die Anklageschrift den Gegenstand des Gerichtsverfahrens (Umgrenzungsfunktion). Die Anklage hat die der beschul- digten Person zur Last gelegten Delikte in ihrem Sachverhalt so präzise zu um- schreiben, dass die Vorwürfe in objektiver und subjektiver Hinsicht genügend konkretisiert sind. Das Akkusationsprinzip bezweckt zugleich den Schutz der Ver- teidigungsrechte der beschuldigten Person und dient dem Anspruch auf recht- liches Gehör (Informationsfunktion). Die beschuldigte Person muss unter dem Gesichtspunkt der Informationsfunktion aus der Anklage ersehen können, wessen sie angeklagt ist. Das bedingt eine zureichende Umschreibung der Tat. Entschei- dend ist, dass der Betroffene genau weiss, welcher konkreter Handlungen er be- schuldigt und wie sein Verhalten rechtlich qualifiziert wird, damit er sich in seiner Verteidigung richtig vorbereiten kann. Er darf nicht Gefahr laufen, erst an der Ge-</w:t>
      </w:r>
    </w:p>
    <w:p>
      <w:r>
        <w:t>- 7 - richtsverhandlung mit neuen Anschuldigungen konfrontiert zu werden (Urteil des Bundesgerichtes 6B_731/2019 vom 18. November 2019, E. 1.2.1; BGE 143 IV 63 E. 2.2; je mit Hinweisen).</w:t>
      </w:r>
    </w:p>
    <w:p>
      <w:r>
        <w:rPr>
          <w:b/>
        </w:rPr>
        <w:t>E. 2.2</w:t>
      </w:r>
    </w:p>
    <w:p>
      <w:r>
        <w:t>Ausgehend von den oben dargelegten Grundlagen ist eine Verletzung des Anklagegrundsatzes nicht erkennbar. Entgegen der Auffassung der Verteidigung erlaubt der in der Anklage umschriebene Sachverhalt die Anwendung von Art. 29 StGB ohne Weiteres. So spezifiziert die Anklage sehr wohl, in welcher Funktion und Rolle dem Beschuldigten die inkriminierten Handlungen zur Last gelegt wer- den. Darin wird explizit – nach Nennung der besonderen, strafrechtlichen Best- immungen (§ 340 PBG i.V.m. § 309, 326 PBG; Urk. 1 S. 1, Ingress) – festgehal- ten, dass er (u.a.) Mitglied mit Einzelunterschrift des Verwaltungsrates der Bau- herrin (C._____ AG) ist und in dieser Position die eingeklagten baulichen Verän- derungen ohne vorgängige Einholung einer Bewilligung ausführen liess. Diesen – und keinen anderen – Sachverhalt hat die Vorinstanz auch als erstellt erachtet (Urk. 34 E. III. 1 und 6 sowie IV.4 f.). Im Übrigen ist darauf hinzuweisen, dass sich die Verteidigung auch schon vor Vorinstanz zu den Pflichten und Aufgaben eines Verwaltungsrates eingehend äusserte (Urk. 27 S. 3 ff.). Der Beschuldigte wusste also genau, welcher konkreter Handlungen er beschuldigt und wie sein Verhalten rechtlich qualifiziert wird. Damit konnte er sich in seiner Verteidigung immer zu genüge vorbereiten.</w:t>
      </w:r>
    </w:p>
    <w:p>
      <w:r>
        <w:rPr>
          <w:b/>
        </w:rPr>
        <w:t>E. 3</w:t>
      </w:r>
    </w:p>
    <w:p>
      <w:r>
        <w:t>Soweit die Verteidigung mit ihrer Ausführung, wonach die Vorinstanz die im Wortlaut von Art. 29 StGB erwähnten "besonderen Pflichten" nicht substantiiert habe (Urk. 44 S. 6 ff.), sodann die Verletzung der Begründungspflicht geltend ma- chen will, so ist ihr Folgendes entgegenzuhalten:</w:t>
      </w:r>
    </w:p>
    <w:p>
      <w:r>
        <w:rPr>
          <w:b/>
        </w:rPr>
        <w:t>E. 3.1</w:t>
      </w:r>
    </w:p>
    <w:p>
      <w:r>
        <w:t>Gemäss bundesgerichtlicher Rechtsprechung verlangt das rechtliche Gehör (Art. 3 Abs. 2 lit. c StPO, Art. 29 Abs. 2 BV und Art. 6 Ziff. 1 EMRK), dass die Be- hörde die wesentlichen Punkte nennt, die für ihren Entscheid relevant waren. Es müssen wenigstens kurz die Überlegungen in den Grundzügen genannt werden, von denen sich die Behörde hat leiten lassen und auf die sich ihr Entscheid stützt (Urteil des Bundesgerichtes 6B_401/2015 vom 16. Juni 2015, E. 1.1, mit Hinwei- sen). Dies soll verhindern, dass sich die Behörde von unsachlichen Motiven leiten</w:t>
      </w:r>
    </w:p>
    <w:p>
      <w:r>
        <w:t>- 8 - lässt, und dem Betroffenen ermöglichen, den Entscheid gegebenenfalls sachge- recht anzufechten. Dies ist nur möglich, wenn sowohl er, wie auch die Rechtsmit- telinstanz sich über die Tragweite des Entscheids ein Bild machen können (BGE 133 I 270, E. 3.1). Die Begründungspflicht ist ein wesentlicher Bestandteil des Anspruchs auf rechtliches Gehör (Urteil des Bundesgerichtes 6B_401/2015 vom 16. Juni 2015, E. 1.1; BGE 133 I 270, E. 3.1; je mit Hinweisen).</w:t>
      </w:r>
    </w:p>
    <w:p>
      <w:r>
        <w:rPr>
          <w:b/>
        </w:rPr>
        <w:t>E. 3.2</w:t>
      </w:r>
    </w:p>
    <w:p>
      <w:r>
        <w:t>Die Vorinstanz stellt in ihrem Urteil fest, dass § 340 PBG zu seiner Erfüllung insofern keine Spezialeigenschaft des Täters erfordere, als bei Verstössen gegen die Bestimmungen des PBG sowohl die Bauherrschaft als auch etwa andere, mit der Erarbeitung und Realisierung des Bauvorhabens betraute Personen zur Re- chenschaft gezogen werden könnten. Weiter erwägt sie, dass die C._____ AG Eigentümerin des Grundstückes sowie Bauherrin sei. Als solche werde sie von § 340 PBG erfasst. Damit sagt die Vorinstanz nichts anderes, als dass der C._____ AG als Eigentümerin und Bauherrin die Pflicht oblag, die Vorschriften des PBG oder ausführender Verfügungen zu beachten bzw. nicht dagegen zu verstossen. Speziell als solche erwähnt wird von der Vorinstanz – nebst dem ausführenden Gemeinderatsbeschluss vom 10. Juni 2014 und der ausführenden Verfügung der Baudirektion vom 10. April 2014 – § 309 Abs. 1 lit. a PBG, dass die Erstellung neuer oder die bauliche Veränderung bestehender Gebäude einer baurechtlichen Bewilligung bedürfe. Implizit gibt die Vorinstanz damit vor, dass die Bauherrin verpflichtet war, bei einem Abweichen von den mit den obgenannten Verwal- tungsentscheiden bewilligten Plänen eine Bewilligung einzuholen bzw. nicht von diesen Plänen abzuweichen. Indem sie aber "in Abweichung von bewilligten Plä- nen" gebaut habe, ohne "im Vorgang zum Baubeginn eine Bewilligung im Sinne von § 309 und 326 PBG" eingeholt zu haben, habe sie diese Pflichten verletzt. Der Beschuldigte sei als Verwaltungsrat mit Einzelzeichnungsberechtigung ein Organ der C._____ AG. Er habe auch die Baubewilligungen in seiner Stellung als Organ der C._____ AG unterzeichnet. Da Art. 29 StGB zur Anwendung gelange, seien die soeben dargelegten Verstösse dem Beschuldigten zuzurechnen (Urk. 34 E. IV).</w:t>
      </w:r>
    </w:p>
    <w:p>
      <w:r>
        <w:t>- 9 -</w:t>
      </w:r>
    </w:p>
    <w:p>
      <w:r>
        <w:rPr>
          <w:b/>
        </w:rPr>
        <w:t>E. 3.3</w:t>
      </w:r>
    </w:p>
    <w:p>
      <w:r>
        <w:t>Mit diesen Erwägungen ist die Vorinstanz ihrer Begründungspflicht zu Ge- nüge nachgekommen und hat insbesondere – wenn auch kurz und in den Grund- zügen – die Überlegungen genannt, von denen sie sich leiten liess. Der Einwand der Verteidigung erweist sich damit als unbegründet.</w:t>
      </w:r>
    </w:p>
    <w:p>
      <w:r>
        <w:rPr>
          <w:b/>
        </w:rPr>
        <w:t>E. 4</w:t>
      </w:r>
    </w:p>
    <w:p>
      <w:r>
        <w:t>April 2015 offenbar als "neu erstelltes Einfamilienhaus mit Privatzufahrt" zum Verkauf ausgeschrieben wurde (Urk. 3 S. 1). Im Übrigen erschöpft sich diese Rü- ge der Verteidigung lediglich in einer appellatorischen Kritik. Die Verteidigung be- gründet diese nicht, sondern stellt der vorinstanzlichen Würdigung der Sach- und Rechtslage lediglich ihre eigene gegenüber. Dies gilt ebenso mit Bezug auf die nicht substantiierte Behauptung, dass der Beschuldigte von den baulichen bewilli- gungspflichtigen Veränderungen nichts gewusst habe (Urk. 44 S. 9) oder er "zu keiner Zeit Weisungen oder auch nur Anregungen zu rechtswidrigen Handlungen" erteilt habe (a.a.O. S. 10). Unter Hinweis auf die oben dargelegte Überprüfungs- befugnis der Berufungsinstanz ist somit nicht weiter darauf einzugehen. IV. Nachdem das vorinstanzliche Urteil im Übrigen nicht beanstandet wurde und auch keinen Anlass dafür bietet, ist es vollumfänglich zu bestätigen. Der Beschul- digte ist des Verstosses gegen das Planungs- und Baugesetz des Kantons Zürich im Sinne von § 309 i.V.m. § 326 und § 340 Abs. 1 PBG schuldig zu sprechen und</w:t>
      </w:r>
    </w:p>
    <w:p>
      <w:r>
        <w:t>- 10 - hierfür mit einer Busse von Fr. 4'000.– zu bestrafen, wobei für schuldhafte Nicht- bezahlung eine Ersatzfreiheitsstrafe von 40 Tagen festzusetzen ist. V. Ausgangsgemäss ist das vorinstanzliche Kostendispositiv (Ziff. 4 und 5) zu bestätigen (Art. 426 Abs. 1 StPO). Da der Beschuldigte im Berufungsverfahren mit seinem Antrag auf Freispruch unterliegt, sind ihm die Kosten dieses Verfah- rens aufzuerlegen (Art. 428 Abs. 1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