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SU180046 vom 13. Mai 2019</w:t>
      </w:r>
    </w:p>
    <w:p>
      <w:r>
        <w:t>ZH Obergericht, 2019-05-13, DE</w:t>
      </w:r>
    </w:p>
    <w:p>
      <w:r>
        <w:rPr>
          <w:b/>
        </w:rPr>
        <w:t xml:space="preserve">Quelle: </w:t>
      </w:r>
      <w:r>
        <w:t>https://mcp.opencaselaw.ch/entscheid/zh_obergericht_SU180046</w:t>
      </w:r>
    </w:p>
    <w:p>
      <w:r>
        <w:t>FR: ZH_OBERGERICHT SU180046 du 13 mai 2019</w:t>
      </w:r>
    </w:p>
    <w:p>
      <w:r>
        <w:t>IT: ZH_OBERGERICHT SU180046 del 13 maggio 2019</w:t>
      </w:r>
    </w:p>
    <w:p>
      <w:pPr>
        <w:pStyle w:val="Heading2"/>
      </w:pPr>
      <w:r>
        <w:t>Erwägungen</w:t>
      </w:r>
    </w:p>
    <w:p>
      <w:r>
        <w:rPr>
          <w:b/>
        </w:rPr>
        <w:t>E. 1</w:t>
      </w:r>
    </w:p>
    <w:p>
      <w:r>
        <w:t>Der Prozessverlauf bis zum erstinstanzlichen Urteil ergibt sich aus dem ange- fochtenen Entscheid (Urk. 17 S. 3 f.).</w:t>
      </w:r>
    </w:p>
    <w:p>
      <w:r>
        <w:rPr>
          <w:b/>
        </w:rPr>
        <w:t>E. 1.1</w:t>
      </w:r>
    </w:p>
    <w:p>
      <w:r>
        <w:t>Die Vorinstanz hat sich auch mit der Frage der Strafzumessung im Zusam- menhang mit Art. 6 Abs. 5 OBG eingehend befasst und die herrschende Lehre und Rechtsprechung zutreffend aufgezeigt, worauf zwecks unnötiger Wieder- holung zu verweisen ist (vgl. Urk. 17 S. 12 ff.; Art. 82 Abs. 4 StPO).</w:t>
      </w:r>
    </w:p>
    <w:p>
      <w:r>
        <w:rPr>
          <w:b/>
        </w:rPr>
        <w:t>E. 1.2</w:t>
      </w:r>
    </w:p>
    <w:p>
      <w:r>
        <w:t>Mit Blick auf Ziff. 303 Anhang 1 der Ordnungsbussenverordnung hat der Beschuldigte als Halter des Fahrzeugs mit dem Kontrollschild ZH … die Ord- nungsbusse von Fr. 250.– zu bezahlen. 2. Ersatzfreiheitsstrafe Wie die Vorinstanz mit Verweis auf das Urteil des Obergerichtes des Kantons Zürich, II. Strafkammer, vom 2. Mai 2017, Geschäfts-Nr. SU160069, E. 5.2., zu- treffend festhielt, ist die Festsetzung einer Ersatzfreiheitsstrafe vorliegend aus- geschlossen (vgl. Urk. 17 S. 14). Von der Festsetzung einer solchen ist daher ab- zusehen, nicht zuletzt vor dem Hintergrund des Verschlechterungsverbots (Art. 391 Abs. 2 StPO). V. Kostenfolgen 1. Gemäss Art. 7 OBG dürfen im Ordnungsbussenverfahren keine Kosten erho- ben werden. Dies liegt daran, dass mit diesem Verfahren Übertretungen mit wenig Verwaltungsaufwand und unter Vermeidung eines ordentlichen Justizverfahrens schnell und definitiv erledigt werden können. Im ordentlichen Verfahren, in dem ebenfalls eine Ordnungsbusse ausgefällt werden kann (vgl. Art. 11 OBG), ist das Prinzip der Kostenfreiheit nur anzuwenden, wenn das ordentliche Verfahren ohne sachlichen Grund eingeleitet worden ist (Urteil des Bundesgerichtes 6S.395/2005 vom 11. Dezember 2005 E. 2 mit Hinweisen). Nachdem das ordentliche Ver- fahren zu Recht eingeleitet wurde, besteht kein Anlass, das Prinzip der Kosten- freiheit vorliegend zur Anwendung zu bringen. Die Kosten des erstinstanzlichen</w:t>
      </w:r>
    </w:p>
    <w:p>
      <w:r>
        <w:t>- 10 - Verfahrens sind somit dem damaligen Einsprecher aufzuerlegen. Das erstinstanz- liche Kostendispositiv (Ziff. 3 - 5) ist folglich zu bestätigen. 2. Im Berufungsverfahren tragen die Parteien die Kosten nach Massgabe ihres Obsiegens oder Unterliegens (Art. 428 Abs. 1 StPO). Mit dem heutigen Urteil un- terliegt der Beschuldigte mit seiner Berufung vollständig. Die Kosten des Beru- fungsverfahrens mit einer Gerichtsgebühr von Fr. 1'500.– sind daher dem Be- schuldigten aufzuerlegen. Es wird erkannt: 1. Der Beschuldigte ist als Halter des Fahrzeugs mit dem Kontrollschild ZH … im Sinne von Art. 6 Abs. 5 OBG verantwortlich für die einfache Verletzung der Verkehrsregeln gemäss Art. 90 Abs. 1 SVG in Verbindung mit Art. 27 Abs. 1 SVG und Art. 32 Abs. 2 SVG sowie Art. 4a Abs. 1 lit. a VRV. 2. Der Beschuldigte wird verpflichtet, Fr. 250.– Busse zu bezahlen. Es wird keine Ersatzfreiheitsstrafe ausgesprochen. 3. Das erstinstanzliche Kostendispositiv (Ziff. 3-5) wird bestätigt. 4. Die zweitinstanzliche Gerichtsgebühr wird festgesetzt auf Fr. 1'500.--.</w:t>
      </w:r>
    </w:p>
    <w:p>
      <w:r>
        <w:rPr>
          <w:b/>
        </w:rPr>
        <w:t>E. 2</w:t>
      </w:r>
    </w:p>
    <w:p>
      <w:r>
        <w:t>Mit Urteil des Bezirksgerichts Zürich, 10. Abteilung - Einzelgericht, vom 12. Oktober 2018 wurde der Beschuldigte als Halter des Fahrzeugs mit dem Kon- trollschild ZH … im Sinne von Art. 6 Abs. 5 OBG verantwortlich erklärt für die ein- fache Verletzung der Verkehrsregeln gemäss Art. 90 Abs. 1 SVG in Verbindung mit Art. 27 Abs. 1 SVG und Art. 32 Abs. 2 SVG sowie Art. 4a Abs. 1 lit. a VRV. Dabei wurde er verpflichtet, Fr. 250.– Busse zu bezahlen. Zudem wurden die Kos- ten mit einer Entscheidgebühr von Fr. 600.– dem Beschuldigten auferlegt (Urk. 17 S. 15).</w:t>
      </w:r>
    </w:p>
    <w:p>
      <w:r>
        <w:rPr>
          <w:b/>
        </w:rPr>
        <w:t>E. 3</w:t>
      </w:r>
    </w:p>
    <w:p>
      <w:r>
        <w:t>Nachdem dem Beschuldigten das begründete Urteil am 19. November 2018 zugestellt worden war (Urk. 15/2), erstattete er am 10. Dezember 2018 (Datum Poststempel) fristgerecht die Berufungserklärung (Urk. 18).</w:t>
      </w:r>
    </w:p>
    <w:p>
      <w:r>
        <w:rPr>
          <w:b/>
        </w:rPr>
        <w:t>E. 3.1</w:t>
      </w:r>
    </w:p>
    <w:p>
      <w:r>
        <w:t>Zu den Vorbringen des Beschuldigten, der Einsatz von Radarkästen sei mangels ausdrücklicher gesetzlicher Grundlage unzulässig, womit der Sach- verhalt nicht ausreichend geklärt sei, ist festzuhalten, dass sich das Zürcher Obergericht in den letzten zwei Jahren bereits dreimal mit denselben Argumenten des Beschuldigten befasst hat, diesen aber nicht gefolgt ist (vgl. Geschäfts-Nrn. SU120025, SU1710026 und SU180028). Der Beschuldigte erhob gegen diese Urteile jeweils Beschwerden ans Bundesgericht. Die eine Beschwerde wurde mit Urteil des Bundesgerichtes 6B_57/2018 vom 18. April 2018 abgewiesen, soweit darauf eingetreten wurde; auf die anderen beiden Beschwerden wurde mit Urtei- len des Bundesgerichtes 6B_58/2018 vom 18. April 2018 und 6B_58/2019 vom 14. März 2019 nicht eingetreten. Unter Hinweis auf die entsprechenden Ausfüh- rungen in den erwähnten Obergerichtsentscheiden und da vorliegend nichts Neu- es vorgebracht wurde, ist festzuhalten, dass die vorliegenden Radaraufnahmen rechtskonform erstellt und ausgewertet wurden und dass diese als Beweismittel im Strafverfahren verwertbar sind.</w:t>
      </w:r>
    </w:p>
    <w:p>
      <w:r>
        <w:rPr>
          <w:b/>
        </w:rPr>
        <w:t>E. 3.2</w:t>
      </w:r>
    </w:p>
    <w:p>
      <w:r>
        <w:t>Indem die Vorinstanz auf die Messresultate der Geschwindigkeitskontrolle vom 4. Juli 2017 abstellte und den Sachverhalt als erstellt erachtete (vgl. Urk. 17 S. 6), verletzte sie somit kein Bundesrecht.</w:t>
      </w:r>
    </w:p>
    <w:p>
      <w:r>
        <w:rPr>
          <w:b/>
        </w:rPr>
        <w:t>E. 4</w:t>
      </w:r>
    </w:p>
    <w:p>
      <w:r>
        <w:t>Halterhaftung</w:t>
      </w:r>
    </w:p>
    <w:p>
      <w:r>
        <w:rPr>
          <w:b/>
        </w:rPr>
        <w:t>E. 4.1</w:t>
      </w:r>
    </w:p>
    <w:p>
      <w:r>
        <w:t>Der Beschuldigte brachte weiter vor, die Vorinstanz verletze das Anklage- prinzip, weil sie ihn als Halter verurteilt habe, während er im Strafbefehl be- schuldigt worden sei, die allgemeine Höchstgeschwindigkeit durch pflichtwidrige Unvorsichtigkeit überschritten zu haben, was voraussetze, dass er der Lenker gewesen sei. Hierzu ist festzuhalten, dass aus dem Strafbefehl des Stadtrichter- amts klar hervorgeht, dass der Beschuldigte "als Halter von: PW ZH …" und ge- stützt auf unter anderem Art. 6 Abs. 5 OBG - wonach die Busse grundsätzlich vom Halter zu bezahlen ist, wenn der Fahrzeugführer nicht eruiert werden kann - bestraft wurde (Urk. 2). Dass die allgemeine Höchstgeschwindigkeit durch pflicht- widrige Unvorsichtigkeit begangen worden sei, wird im Strafbefehl nicht auf den</w:t>
      </w:r>
    </w:p>
    <w:p>
      <w:r>
        <w:t>- 7 - Beschuldigten bezogen, sondern beschreibt die Tathandlung des (vorliegend nicht eruierbaren) Lenkers, für welchen der Beschuldigte - wie nachfolgend noch zu zeigen sein wird (vgl. Ziff. 4.3.2. f.) - verantwortlich ist. Wenn die Vorinstanz den Beschuldigten sodann als Fahrzeughalter für die einfache Verkehrsregelver- letzung zur Rechenschaft zog, folgte sie dem im besagten Strafbefehl dargelegten Sachverhalt. Eine Verletzung des Anklageprinzips liegt somit nicht vor.</w:t>
      </w:r>
    </w:p>
    <w:p>
      <w:r>
        <w:rPr>
          <w:b/>
        </w:rPr>
        <w:t>E. 4.2</w:t>
      </w:r>
    </w:p>
    <w:p>
      <w:r>
        <w:t>Mit der Formulierung "begangen durch pflichtwidrige Unvorsichtigkeit" wird zugunsten des Lenkers und letztlich des verantwortlichen Fahrzeughalters eine fahrlässige Begehung angenommen. Dass aber deshalb, wie dies der Beschuldig- te weiter geltend macht, gemäss Art. 100 Ziff. 1 Abs. 2 SVG von einer Bestrafung Umgang zu nehmen ist, trifft nicht zu. Die besagte Bestimmung bezieht sich we- der auf fahrlässige Taten, noch schliesst sie Vergehen des SVG von vornherein aus. Ob ein besonders leichter Fall im Sinne von Art. 100 Ziff. 1 Abs. 2 SVG an- zunehmen ist, hängt von den gesamten Umständen ab, die bei der Abwägung des Verschuldens zu berücksichtigen sind, insbesondere aber von den Wertun- gen, die dem SVG zugrunde liegen. Zu beachten ist diesbezüglich, dass Wider- handlungen gegen Verkehrsvorschriften vor allem wegen der Gefahren, denen andere Verkehrsteilnehmer dadurch ausgesetzt sind, mit Strenge zu ahnden sind (Weissenberger, Kommentar SVG und OBG, 2. Aufl., Art. 100 N 10). Der Lenker des PWs des Beschuldigten war am späteren Nachmittag werktags und im Stadt-, wenn nicht schon im einsetzenden Feierabendverkehr, mit einer um 15 km/h übersetzten Geschwindigkeit unterwegs. Diese Umstände deuten auf eine nicht unerhebliche Gefährdung anderer Verkehrsteilnehmer hin, weshalb keinesfalls von einem leichten Fall im Sinne von Art. 100 Ziff. 1 Abs. 2 SVG ausgegangen werden kann.</w:t>
      </w:r>
    </w:p>
    <w:p>
      <w:r>
        <w:rPr>
          <w:b/>
        </w:rPr>
        <w:t>E. 4.3</w:t>
      </w:r>
    </w:p>
    <w:p>
      <w:r>
        <w:t>Im Folgenden ist schliesslich auf das Vorbringen des Beschuldigten einzuge- hen, wonach eine Ordnungsstrafe weder im StGB noch im SVG, sondern lediglich im OBG, vorgesehen sei. Für die Bestrafung eines Fahrzeughalters mit einer Ordnungsbusse im ordentlichen Verfahren fehle jede Rechtsgrundlage.</w:t>
      </w:r>
    </w:p>
    <w:p>
      <w:r>
        <w:rPr>
          <w:b/>
        </w:rPr>
        <w:t>E. 4.3.1</w:t>
      </w:r>
    </w:p>
    <w:p>
      <w:r>
        <w:t>Vorab ist nochmals festzuhalten, dass sich aufgrund der Radarfotos und der Aussagen des Beschuldigten nicht erstellen lässt, wer zum Zeitpunkt der</w:t>
      </w:r>
    </w:p>
    <w:p>
      <w:r>
        <w:t>- 8 - Überschreitung der Höchstgeschwindigkeit am Steuer des Personenwagens ZH … sass (Prot. I S. 16; Urk. 1/5). Hingegen ist unbestritten, dass der Beschul- digte der Halter des Fahrzeugs mit dem Kontrollschild ZH … war (Prot. I S. 16).</w:t>
      </w:r>
    </w:p>
    <w:p>
      <w:r>
        <w:rPr>
          <w:b/>
        </w:rPr>
        <w:t>E. 4.3.2</w:t>
      </w:r>
    </w:p>
    <w:p>
      <w:r>
        <w:t>Entgegen der Auffassung des Beschuldigten wurden mit der Einführung der Halterhaftung Grundsätze des Ordnungsbussenverfahrens für das ordentliche Strafverfahren übernommen (vgl. Urteil des Obergerichtes des Kantons Zürich, II. Strafkammer, vom 2. Mai 2017, Geschäfts-Nr. SU160069, E. 5.1 publiz. in ZR 116/2017 Nr. 64). Um dem Beschuldigten gestützt auf Art. 6 Abs. 5 OBG eine Busse aufzuerlegen, ist ihm nicht nachzuweisen, dass er der Lenker des Fahr- zeugs war. Gemäss Art. 11 Abs. 1 OBG kann eine Ordnungsbusse auch im or- dentlichen Strafverfahren ausgefällt werden. Bezüglich der Halterhaftung kann auf die zutreffenden Ausführungen der Vor-instanz verwiesen werden (Art. 82 Abs. 4 StPO), in welchen sich diese eingehend mit der besagten Problematik auseinan- dersetzte, diesbezüglich auf das Urteil des Obergerichtes des Kantons Zürich, II. Strafkammer, vom 2. Mai 2017, Geschäfts-Nr. SU160069, verwies (Urk. 17 S. 8 ff.) und die Voraussetzungen der Halterprüfung als erfüllt erachtete (Urk. 17 S. 11 f.).</w:t>
      </w:r>
    </w:p>
    <w:p>
      <w:r>
        <w:rPr>
          <w:b/>
        </w:rPr>
        <w:t>E. 4.3.3</w:t>
      </w:r>
    </w:p>
    <w:p>
      <w:r>
        <w:t>Zurecht wurde der Beschuldigte sodann von der Vorinstanz nicht als Halter (anstelle der unbekannten Täterschaft) der Strassenverkehrswiderhandlung schuldig gesprochen, sondern lediglich als dafür verantwortlich erachtet (vgl. Urk. 17 S. 12, S. 15).</w:t>
      </w:r>
    </w:p>
    <w:p>
      <w:r>
        <w:rPr>
          <w:b/>
        </w:rPr>
        <w:t>E. 5</w:t>
      </w:r>
    </w:p>
    <w:p>
      <w:r>
        <w:t>Die Kosten des Berufungsverfahrens werden dem Beschuldigten auferlegt.</w:t>
      </w:r>
    </w:p>
    <w:p>
      <w:r>
        <w:rPr>
          <w:b/>
        </w:rPr>
        <w:t>E. 6</w:t>
      </w:r>
    </w:p>
    <w:p>
      <w:r>
        <w:t>Schriftliche Mitteilung in vollständiger Ausfertigung an − den Beschuldigten − das Stadtrichteramt Zürich − die Oberstaatsanwaltschaft des Kantons Zürich sowie nach Ablauf der Rechtsmittelfrist bzw. Erledigung allfälliger Rechts- mittel an die Vorinstanz.</w:t>
      </w:r>
    </w:p>
    <w:p>
      <w:r>
        <w:rPr>
          <w:b/>
        </w:rPr>
        <w:t>E. 7</w:t>
      </w:r>
    </w:p>
    <w:p>
      <w:r>
        <w:t>Gegen diesen Entscheid kann bundesrechtliche Beschwerde in Straf- sachen erhoben werden.</w:t>
      </w:r>
    </w:p>
    <w:p>
      <w:r>
        <w:t>- 11 -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13. Mai 2019 Der Präsident: Die Gerichtsschreiberin: lic. iur. R. Naef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