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SU180010 vom 4. September 2018</w:t>
      </w:r>
    </w:p>
    <w:p>
      <w:r>
        <w:t>ZH Obergericht, 2018-09-04, DE</w:t>
      </w:r>
    </w:p>
    <w:p>
      <w:r>
        <w:rPr>
          <w:b/>
        </w:rPr>
        <w:t xml:space="preserve">Quelle: </w:t>
      </w:r>
      <w:r>
        <w:t>https://mcp.opencaselaw.ch/entscheid/zh_obergericht_SU180010</w:t>
      </w:r>
    </w:p>
    <w:p>
      <w:r>
        <w:t>FR: ZH_OBERGERICHT SU180010 du 4 septembre 2018</w:t>
      </w:r>
    </w:p>
    <w:p>
      <w:r>
        <w:t>IT: ZH_OBERGERICHT SU180010 del 4 settembre 2018</w:t>
      </w:r>
    </w:p>
    <w:p>
      <w:pPr>
        <w:pStyle w:val="Heading2"/>
      </w:pPr>
      <w:r>
        <w:t>Erwägungen</w:t>
      </w:r>
    </w:p>
    <w:p>
      <w:r>
        <w:rPr>
          <w:b/>
        </w:rPr>
        <w:t>E. 1</w:t>
      </w:r>
    </w:p>
    <w:p>
      <w:r>
        <w:t>Der Prozessverlauf bis zum erstinstanzlichen Urteil ergibt sich aus dem an- gefochtenen Entscheid (Urk. 18 S. 3).</w:t>
      </w:r>
    </w:p>
    <w:p>
      <w:r>
        <w:rPr>
          <w:b/>
        </w:rPr>
        <w:t>E. 2</w:t>
      </w:r>
    </w:p>
    <w:p>
      <w:r>
        <w:t>Gegen das Urteil des Bezirksgerichts Pfäffikon, Einzelgericht Strafsachen, vom 13. November 2017 (Urk. 11) meldete der Beschuldigte mit Eingabe vom 21. November 2017 innert der zehntägigen Frist von Art. 399 Abs. 1 StPO (vgl. Art. 91 Abs. 4 StPO) Berufung an (Urk. 12). Nachdem das begründete Urteil am 22. Februar 2018 dem Beschuldigten zugestellt worden war (Urk. 17/1), er- stattete dieser am 13. März 2018 (Datum des Poststempels: 10. März 2018) frist- gerecht (Art. 399 Abs. 3 StPO) die Berufungserklärung (Urk. 19).</w:t>
      </w:r>
    </w:p>
    <w:p>
      <w:r>
        <w:rPr>
          <w:b/>
        </w:rPr>
        <w:t>E. 3</w:t>
      </w:r>
    </w:p>
    <w:p>
      <w:r>
        <w:t>Anklagegrundsatz Ob eine Verletzung des Anklagegrundsatzes vorliegt, ist auch dann zu prüfen, wenn sie nicht gerügt wird (BSK StPO-NIGGLI/HEIMGARTNER, Art. 9 N 63a). Ge- mäss Art. 325 Abs. 1 lit. f StPO bezeichnet die Anklageschrift möglichst kurz, aber genau die der beschuldigten Person vorgeworfenen Taten mit Beschreibung von Ort, Datum, Zeit, Art und Folgen der Tatausführung. Möglichst kurz heisst, dass die Anklageschrift diejenigen Umstände und Einzelheiten zu enthalten hat, die zum gesetzlichen Tatbestand gehören. Die Darstellung des tatsächlichen Le- bensvorganges ist auf die einzelnen Tatbestandselemente auszurichten. Die Um- schreibung muss so konkret und unverwechselbar sein, dass keine Unklarheit über den Tatvorwurf aufkommen kann (Weisungen der Oberstaatsanwaltschaft</w:t>
      </w:r>
    </w:p>
    <w:p>
      <w:r>
        <w:t>- 6 - für das Vorverfahren [WOSTA], S. 238 f.). Durch eine detaillierte Angabe des An- klagevorwurfs werden insbesondere die durch das Anklageprinzip angestrebte Umgrenzungs- und Informationsfunktion erfüllt. Zum einen soll die beschuldigte Person Kenntnis erlangen, welcher konkreter Handlungen sie beschuldigt und wie ihr Verhalten rechtlich qualifiziert wird, so dass sie sich in ihrer Verteidigung richtig vorbereiten kann, und garantiert damit auch den Anspruch auf rechtliches Gehör (BGE 133 IV 235 E. 6.2 f.; Urteil des Bundesgerichts 6B_492/2015 vom 2. Dezember 2015 E. 2.2 mit Hinweisen, nicht publ. in BGE 141 IV 437). Zum an- deren soll auch das Gericht durch die Anklageschrift in die Lage versetzt werden, sich eine präzise Vorstellung des Anklagevorhalts zu machen. Es genügt dem- gemäss nicht, wenn pauschale Vorwürfe erhoben werden (BSK StPO- HEIMGARTNER/NIGGLI, Art. 325 N 18). Die Anklageschrift erweist sich im vorliegenden Fall als grenzwertig. Über mehre- re Seiten werden die Inhalte der Strafanzeige und Stellungnahmen der involvier- ten Personen zitiert und Beweismittel interpretiert. Von einer möglichst kurzen, aber präzisen Anklageschrift kann deshalb nicht gesprochen werden. Dennoch lässt sich der Anklageschrift in gerade noch genügender Weise entnehmen, dass dem Beschuldigten vorgeworfen wird, als Inhaber einer Installationsbewilligung diese auf einen – nichtberechtigten – Dritten übertragen zu haben, indem er eine Installationsanzeige ausgestellt und eingereicht hat. Dieser Vorwurf war auch für den Beschuldigten klar, was er gegenüber der Vorinstanz auch so bestätigt hat (Prot. I S. 4).</w:t>
      </w:r>
    </w:p>
    <w:p>
      <w:r>
        <w:rPr>
          <w:b/>
        </w:rPr>
        <w:t>E. 3.1</w:t>
      </w:r>
    </w:p>
    <w:p>
      <w:r>
        <w:t>Der Beschuldigte anerkannte mit seiner Eingabe vom 26. Februar 2016, dass er die Installationsanzeige in eigenem Namen eingereicht hat (Urk. 3/4/140). Sodann machte er in der fraglichen Eingabe geltend, von E._____ habe er zu wissen bekommen, dass die Installationsarbeiten von einer konzessionierten Elektrofirma aus Zürich ausgeführt worden seien (Urk. 3/4/140). Diese habe sich dann mit dem Eigentümer der Liegenschaft verkracht. Sein Auftrag sei es gewe- sen, die Installation zu überprüfen und normgerecht zu vollenden. In der vor- instanzlichen Hauptverhandlung vom 13. November 2017 gab der Beschuldigte dann auf Befragen an, der Liegenschaftseigentümer habe ein paar Leute aus F._____ und G._____ beauftragt, die Arbeiten durchzuführen. E._____ habe nur Verbesserungsarbeiten durchgeführt. Er selbst habe vor Ort, d.h. physisch keine Arbeiten durchgeführt. Die Installation sei nicht von ihm erstellt worden, sondern sie habe bereits existiert (Prot. I S. 6). In seiner Berufungsbegründung führte der Beschuldigte aus, es sei geplant gewesen, dass er mit dem Elektromonteur E._____ als Hilfskraft die Installation noch hätte fertig machen sollen. Umfang- mässig seien dies noch ca. 5% gewesen, alles andere sei bereits vom Vorgänger installiert gewesen. Er habe erst ein Jahr später erfahren, dass dies Schwarzar- beiter gewesen seien (Urk. 19 S. 2). Er anerkenne den Fehler, dass er in der In-</w:t>
      </w:r>
    </w:p>
    <w:p>
      <w:r>
        <w:t>- 9 - stallationsanzeige hätte angeben müssen, dass die Installation durch eine andere Elektrounternehmung angefangen und nicht beendet worden sei (Urk. 19 S. 4).</w:t>
      </w:r>
    </w:p>
    <w:p>
      <w:r>
        <w:rPr>
          <w:b/>
        </w:rPr>
        <w:t>E. 3.2</w:t>
      </w:r>
    </w:p>
    <w:p>
      <w:r>
        <w:t>Der Beschuldigte begnügt sich in seiner Berufungsbegründung damit, die Sachverhaltserstellung der ersten Instanz an sich zu kritisieren und dieser seine eigene Beweiswürdigung entgegenzustellen, ohne darzulegen, inwiefern die erste Instanz eine offensichtlich unrichtige Feststellung des Sachverhalts und willkürli- che Beweiswürdigung vorgenommen hat. Auf deren Erwägungen Ziff. 1.1. - 1.3 geht der Beschuldigte nicht ein (Urk. 19). Er macht stattdessen vor allem Ausfüh- rungen über sein Verhältnis zu E._____, wie es zum Auftrag gekommen und was noch geplant war. Kommt noch hinzu, dass sich die Vorbringen des Beschuldigten auch als wider- sprüchlich erweisen. So zum Beispiel, wenn er einerseits geltend macht, er habe E._____ effektiv beaufsichtigt (vgl. Urk. 19 S. 3; Urk. 27 S. 3), dann aber auf die Frage, dass die Arbeiten nicht von E._____ ausgeführt worden seien, aussagt, er habe gehört, es seien Schwarzarbeiter aus F._____ gewesen. Was E._____ ge- macht habe, das könne er nicht beurteilen. Das müsse dieser selber sagen (Prot. I S. 7). Hätte der Beschuldigte E._____ tatsächlich beaufsichtigt, so hätte es ihm möglich sein müssen, auszuführen, was dieser am Objekt alles gemacht hat. Wesentlich ist aber schliesslich, dass sich aus der Rechnung Nr. 29299 klar ergibt, dass die H._____ Umbau &amp; Renovation Arbeiten am Objekt an der B._____-strasse … in C._____ erbracht hat. Aus dieser Rechnung ergibt sich auch klar, dass die I._____ Engineering die Installationsanzeige durchführen wird (Urk. 3/4/038). Dass der Beschuldigte für die H._____ Umbau &amp; Renovation hätte tätig werden sollen, bestätigt dieser selber. Es habe ein Arbeitsvertrag mit der H._____ Umbau &amp; Renovation bestanden, wonach er – der Beschuldigte – für die H._____ Umbau &amp; Renovation eine Installationsbewilligung beim ESTI beantra- gen solle (Urk. 3/4/122). Da die H._____ Umbau &amp; Renovation keine Installati- onsbewilligung erhalten hätte, sei es die schnellste Lösung gewesen, dass er die Anmeldung über seine Firma mache, ansonsten hätten sie keine Chance gehabt Stromzähler von den EKZ zu bekommen (Urk. 3/4/121).</w:t>
      </w:r>
    </w:p>
    <w:p>
      <w:r>
        <w:t>- 10 -</w:t>
      </w:r>
    </w:p>
    <w:p>
      <w:r>
        <w:rPr>
          <w:b/>
        </w:rPr>
        <w:t>E. 3.3</w:t>
      </w:r>
    </w:p>
    <w:p>
      <w:r>
        <w:t>Der Sachverhalt ist als erstellt zu betrachten. In tatsächlicher Hinsicht ist davon auszugehen, dass der Beschuldigte den Elektrizitätswerken des Kantons Zürich eine Installationsanzeige eingereicht hat, wobei er wahrheitswidrig seine Firma als Installateurin der Elektroanlagen ausgegeben hat, obschon nicht er, sondern eine andere Firma die Installationsarbeiten ausgeführt hat. IV. Rechtliche Würdigung 1. Die Vorinstanz hat erwogen, der Beschuldigte habe sich im Sinne von Art. 42 lit. c i.V.m. Art. 18 Abs. 1 NIV schuldig gemacht. Zur Begründung führte sie aus, dass gemäss Art. 42 NIV unter anderem bestraft werde, wer die mit einer Bewilligung verbundenen Pflichten verletze (lit. c). Ge- mäss Art. 18 Abs. 1 NIV sei eine Installationsbewilligung nicht übertragbar. Als Pflichtverletzung im Sinne von Art. 42 lit. c NIV gelte in diesem Zusammenhang deshalb auch, das Zur-Verfügung-Stellen der Bewilligung, das heisse das Melden von Installationsarbeiten, die durch andere Betriebe oder Personen ausgeführt worden seien, welche nicht unter wirksamer technischer Aufsicht des Bewilli- gungsinhabers tätig geworden seien. 2. Art. 18 Abs. 1 NIV lautet: "Die Installationsbewilligung ist unbefristet und nicht übertragbar. Sie gilt für die ganze Schweiz." Zu klären gilt es, was mit "Über- tragung" im Sinne von Art. 18 Abs. 1 NIV genau gemeint ist. Hilfreich ist hier ein Blick auf die allgemeinen Normen betreffend Installations- bewilligung nach den Art. 6 ff. NIV. Diese regeln im Wesentlichen, unter welchen Bedingungen eine natürliche Person respektive ein Betrieb eine Installationsbe- willigung erhält und führen Abstufungen der Installationsbewilligung sowie Fälle, in denen keine Bewilligung notwendig ist, auf. Es handelt sich um eher technische Regelungen, welche detailliert die Modalitäten rund um die Erteilung einer In- stallationsbewilligung respektive deren Ausnahmefälle normieren. Im Anschluss daran folgt besagter Art. 18 NIV, welcher die Übertragung einer Installations- bewilligung ausschliesst. Betroffen ist das Verhältnis zwischen Privatpersonen respektive Betrieben. Aus der Systematik und dem Regelungsinhalt dieses Norm-</w:t>
      </w:r>
    </w:p>
    <w:p>
      <w:r>
        <w:t>- 11 - komplexes erhellt, dass mit dem Begriff der "Übertragung" im Sinne von Art. 18 NIV die effektive Übertragung der Bewilligung beispielsweise im Rahmen eines Verkaufes, mitunter die juristische Übertragung, gemeint ist. Nicht darunter sub- sumiert werden können Fälle im Sinne einer faktischen Übertragung, wie sie vor- liegend dem Beschuldigten vorgeworfen wird, indem er aufgrund einer Meldung von Arbeiten, die durch andere Betriebe oder Personen ausgeführt wurden, die Bewilligung quasi übertragen haben soll. Eine Strafbarkeit im Sinne von Art. 42 lit. c aNIV i.V.m. Art. 18 Abs. 1 aNIV scheidet somit aus. Das dem Beschuldigten vorgeworfene Verhalten steht erst seit der letzten Gesetzesänderung (in Kraft seit 1. Januar 2015), unter Strafandrohung. (Art. 42 lit. c Abs. 3 (NIV). Auch soweit sich die Berufungsbeklagte 1 in ihrer Strafverfügung mit einer Verlet- zung einer Aufsichtspflicht auseinandersetzt, geht dies an der Sache vorbei. Wie erwähnt, ist die tatzeitaktuelle Version der NIV anzuwenden, welche eine Verlet- zung der Aufsichtspflicht noch nicht normiert hatte. Dieser Fall wurde erst später in der Verordnung geregelt (Art. 42 lit. c Ziff. 3 NIV in der geltenden Version) und war von der zur Tatzeit in Kraft stehenden NIV noch nicht erfasst. 3. Fazit: Der Beschuldigte ist somit im Sinne von Art. 42 lit. c aNIV i.V.m. Art. 18 Abs. 1 aNIV nicht schuldig und ist freizusprechen. V. Kosten 1. Die Vorinstanz hat – dem damaligen Ausgang des Verfahrens entsprechend – die Kosten der Untersuchung und des erstinstanzlichen Verfahrens dem Be- schuldigten auferlegt. Die erstinstanzliche Kostenfestsetzung ist nicht zu bean- standen und zu bestätigen. Aufgrund des heutigen vollumfänglichen Freispruches des Beschuldigten sind diese Kosten im Sinne von Art. 426 Abs. 1 StPO aus- gangsgemäss auf die Gerichtskasse zu nehmen. 2. Die Kosten des Rechtsmittelverfahrens tragen die Parteien nach Massgabe ihres Obsiegens oder Unterliegens (Art. 428 Abs. 1 StPO). Unterliegt die Untersu- chungsbehörde, trägt der verfahrensführende Kanton die Kosten (Schmid, StPO</w:t>
      </w:r>
    </w:p>
    <w:p>
      <w:r>
        <w:t>- 12 - Praxiskommentar, 2. Auflage, Zürich/St. Gallen 2013, Art. 428 N 3), weshalb die Kosten des Berufungsverfahrens ausser Ansatz fallen. Es wird erkannt: 1. Der Beschuldigte A._____ ist nicht schuldig im Sinne von Art. 42 lit. c aNIV i.V.m. Art. 18 Abs. 1 aNIV und wird freigesprochen. 2. Die Kosten der Untersuchung und des erstinstanzlichen Gerichtsverfahrens werden auf die Gerichtskasse genommen. 3. Die Kosten des Berufungsverfahrens werden auf die Gerichtskasse ge- nommen. 4. Schriftliche Mitteilung in vollständiger Ausfertigung an − den Beschuldigten − das Bundesamt für Energie, im Doppel, − die Bundesanwaltschaft Bern − die Oberstaatsanwaltschaft des Kantons Zürich sowie nach Ablauf der Rechtsmittelfrist bzw. Erledigung allfälliger Rechts- mittel an die Vorinstanz.</w:t>
      </w:r>
    </w:p>
    <w:p>
      <w:r>
        <w:rPr>
          <w:b/>
        </w:rPr>
        <w:t>E. 4</w:t>
      </w:r>
    </w:p>
    <w:p>
      <w:r>
        <w:t>Formelles Die urteilende Instanz muss sich nicht mit allen Parteistandpunkten einlässlich auseinandersetzen und jedes einzelne Vorbringen ausdrücklich widerlegen. Viel- mehr kann sich das Gericht auf die seiner Auffassung nach wesentlichen und massgeblichen Vorbringen der Parteien beschränken (BGE 141 IV 249 E. 1.3.1 mit Hinweisen).</w:t>
      </w:r>
    </w:p>
    <w:p>
      <w:r>
        <w:t>- 7 -</w:t>
      </w:r>
    </w:p>
    <w:p>
      <w:r>
        <w:rPr>
          <w:b/>
        </w:rPr>
        <w:t>E. 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- 13 - Die Beschwerdelegitimation und die weiteren Beschwerdevoraussetzungen richten sich nach den massgeblichen Bestimmungen des Bundesgerichts- gesetzes. Obergericht des Kantons Zürich I. Strafkammer Zürich, 4. September 2018 Der Präsident: Der Gerichtsschreiber: lic. iur. R. Naef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