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SU180009 vom 2. Juli 2018</w:t>
      </w:r>
    </w:p>
    <w:p>
      <w:r>
        <w:t>ZH Obergericht, 2018-07-02, DE</w:t>
      </w:r>
    </w:p>
    <w:p>
      <w:r>
        <w:rPr>
          <w:b/>
        </w:rPr>
        <w:t xml:space="preserve">Quelle: </w:t>
      </w:r>
      <w:r>
        <w:t>https://mcp.opencaselaw.ch/entscheid/zh_obergericht_SU180009</w:t>
      </w:r>
    </w:p>
    <w:p>
      <w:r>
        <w:t>FR: ZH_OBERGERICHT SU180009 du 2 juillet 2018</w:t>
      </w:r>
    </w:p>
    <w:p>
      <w:r>
        <w:t>IT: ZH_OBERGERICHT SU180009 del 2 luglio 2018</w:t>
      </w:r>
    </w:p>
    <w:p>
      <w:pPr>
        <w:pStyle w:val="Heading2"/>
      </w:pPr>
      <w:r>
        <w:t>Erwägungen</w:t>
      </w:r>
    </w:p>
    <w:p>
      <w:r>
        <w:rPr>
          <w:b/>
        </w:rPr>
        <w:t>E. 1</w:t>
      </w:r>
    </w:p>
    <w:p>
      <w:r>
        <w:t>Verfahrensgang Mit Urteil des Bezirksgerichtes Dietikon, Einzelgericht in Strafsachen, vom 10. Januar 2018 wurde der Beschuldigte der Verletzung der Verkehrsregeln im Sinne von Art. 90 Abs. 1 SVG in Verbindung mit Art. 31 Abs. 1 SVG und Art. 3 Abs. 1 VRV schuldig gesprochen und mit Fr. 250.– Busse bestraft. Die Kosten des gerichtlichen Verfahrens sowie diejenigen des Verfahrens vor dem Statthal- teramt Bezirk Dietikon (nachfolgend Statthalteramt) wurden dem Beschuldigten auferlegt (Urk. 19 S. 11).</w:t>
      </w:r>
    </w:p>
    <w:p>
      <w:r>
        <w:rPr>
          <w:b/>
        </w:rPr>
        <w:t>E. 2</w:t>
      </w:r>
    </w:p>
    <w:p>
      <w:r>
        <w:t>Berufung Gegen dieses Urteil liess der Beschuldigte am 18. Januar 2018 Berufung anmelden (Urk. 15) und sodann am 15. März 2018 fristgerecht die (kurz begrün- dete) Berufungserklärung einreichen (Urk. 18/2 und Urk. 20). Das Statthalteramt verzichtete innert angesetzter Frist auf Erhebung einer Anschlussberufung (Urk. 23). Mit Beschluss vom 10. April 2018 wurde das schriftliche Verfahren an- geordnet und dem Beschuldigten Frist angesetzt, um seine Berufungsanträge zu stellen und zu begründen (Urk. 24). Der Beschuldigte liess hierauf mit Eingabe vom 25. April 2018 auf seine begründete Berufungserklärung verweisen und hielt an den dort gestellten Anträgen fest (Urk. 28). Das Statthalteramt verzichtete auf eine Berufungsantwort; die Vorinstanz liess sich innert Frist nicht vernehmen (Urk. 29 bzw. Urk. 31). Beweisergänzungen wurden keine beantragt. Damit er- weist sich das vorliegende Verfahren als spruchreif.</w:t>
      </w:r>
    </w:p>
    <w:p>
      <w:r>
        <w:rPr>
          <w:b/>
        </w:rPr>
        <w:t>E. 3</w:t>
      </w:r>
    </w:p>
    <w:p>
      <w:r>
        <w:t>Umfang der Berufung Die Berufung hat im Umfang der Anfechtung aufschiebende Wirkung (Art. 402 StPO). E contrario erwachsen die nicht von der Berufung erfassten Punkte in Rechtskraft (SCHMID/JOSITSCH, StPO-Praxiskommentar, 3. Aufl., Zü- rich/St. Gallen 2018, N 1 zu Art. 402; BGE 141 IV 244 E. 1.3.3; vgl. auch Art. 437</w:t>
      </w:r>
    </w:p>
    <w:p>
      <w:r>
        <w:t>- 4 - StPO). Das Berufungsgericht überprüft somit das erstinstanzliche Urteil nur in den angefochtenen Punkten (Art. 404 Abs. 1 StPO). Der Beschuldigte beantragte einen Freispruch von jeglicher Schuld (Urk. 20). Als unangefochten erweist sich somit einzig der vorinstanzliche Ent- scheid über die Festsetzung der Kosten (Dispositivziffer 4).</w:t>
      </w:r>
    </w:p>
    <w:p>
      <w:r>
        <w:rPr>
          <w:b/>
        </w:rPr>
        <w:t>E. 4</w:t>
      </w:r>
    </w:p>
    <w:p>
      <w:r>
        <w:t>Beurteilung Richtig hielt die Vorinstanz fest, dass die im Polizeirapport zusammenge- fassten Aussagen von B._____ und deren Beifahrerin sowie Tochter C._____ nicht zu Lasten des Beschuldigten verwendet werden können, da die beiden we- der förmlich befragt noch mit dem Beschuldigten konfrontiert wurden (Urk. 19 S. 3). Die Vorinstanz erwog, dass es nicht völlig ausgeschlossen erscheine, dass sowohl das Fahrzeug des Beschuldigtes als auch jenes von B._____ zeitnah vor dem vorliegend zu beurteilenden Vorfall an einem vergleichbaren Auffahrunfall beteiligt gewesen seien und die an den beiden Fahrzeugen festgestellten Über- tragungsspuren davon herrührten. Richtig kommt die Vorinstanz zum Schluss, dass ein solcher Auffahrunfall von den Beteiligten nicht – insbesondere auch nicht vom Beschuldigten – vorgebracht wird und davon auszugehen wäre, dass er ei- nen solchen nahezu identischen Auffahrunfall als Erklärung der Farbsplitter und Schäden an seinem Fahrzeug und zu seiner Verteidigung in der Untersuchung konkret vorgebracht hätte. Auch in Bezug auf den Umstand, dass die beiden</w:t>
      </w:r>
    </w:p>
    <w:p>
      <w:r>
        <w:t>- 7 - Fahrzeuge nach der Kollision zunächst weitergefahren sind, ist die Überlegung der Vorinstanz überzeugend. Bei einer geringfügigen Kollision ist es angebracht, dass man sich – insbesondere auf der Autobahn – zuerst aus dem Gefahrenbe- reich begibt und die Fahrzeuge an einem sicheren Ort parkiert, um das Unfallpro- tokoll auszufüllen. Auch ist der Vorinstanz dahingehend beizupflichten, dass das Verhalten des Beschuldigten – auf entsprechendes Handzeichen von B._____ hin folgte er ihr nach dem Vorfall auf den Pannenstreifen – als Indiz dafür zu werten ist, dass sich die Kollision anklagegemäss ereignete. Zusammenfassend ist festzuhalten, dass die Vorinstanz eine nachvollzieh- bare Sachverhaltserstellung vorgenommen und dabei weder unhaltbare noch sachfremde Schlüsse gezogen hat. Zudem ist die vorinstanzliche Beweiswürdi- gung ausreichend begründet. Somit ist die von der Vorinstanz vorgenommene Sachverhaltserstellung nicht zu beanstanden. Der von der Vorinstanz festgestellte Sachverhalt ist daher für die rechtliche Würdigung heranzuziehen. III. Rechtliche Würdigung In Bezug auf die rechtliche Würdigung ist vollumfänglich auf die zutreffenden Ausführungen der Vorinstanz zu verweisen (Art. 82 Abs. 4 StPO, Urk. 19 S. 8 f.). Der Beschuldigte ist somit der Verletzung der Verkehrsregeln im Sinne von Art. 90 Abs. 1 SVG in Verbindung mit Art. 31 Abs. 1 SVG und Art. 3 Abs. 1 VRV schuldig zu sprechen. IV. Strafe Die Vorinstanz hat den Strafrahmen und die Grundsätze der Strafzumes- sung korrekt dargelegt, worauf verwiesen werden kann. Sie befand eine Busse von Fr. 250.– für angemessen (Urk. 19 S. 9 f.). Der Beschuldigte bringt zur von der Vorinstanz ausgefällten Bussenhöhe vor, dass diese unangemessen sei, da letztendlich so gut wie nichts passiert und sein Verschulden deshalb minimal sei (Urk. 20 S. 4).</w:t>
      </w:r>
    </w:p>
    <w:p>
      <w:r>
        <w:t>- 8 - Das Verschulden des Beschuldigten stufte die Vorinstanz als noch leicht ein (Urk. 19 S. 10). Das Verhalten des Beschuldigten führte lediglich zu einer gering- fügigen Kollision und sein Verhalten ist nicht als besonders rücksichtslos zu be- werten. Zudem beging er die Verkehrsregelverletzung fahrlässig. Es liegen weder straferhöhende noch -mindernde Täterkomponenten vor. Angesichts des noch leichten Verschuldens und der finanziellen Verhältnisse des Beschuldigten er- weist sich die vorinstanzlich festgesetzte Busse von Fr. 250.– als angemessen. In Übereinstimmung mit der Vorinstanz ist sodann für den Fall der schuld- haften Nichtbezahlung der Busse eine Ersatzfreiheitsstrafe von drei Tagen fest- zusetzen. V. Kosten Ausgangsgemäss ist die vorinstanzliche Kostenauflage (Ziff. 5) zu bestäti- gen (Art. 426 Abs. 1 StPO). Da der Beschuldigte im Berufungsverfahren mit sei- nem Antrag auf Freispruch unterliegt, sind ihm die Kosten dieses Verfahrens auf- zuerlegen (Art. 428 Abs. 1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