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SU170005 vom 8. Februar 2017</w:t>
      </w:r>
    </w:p>
    <w:p>
      <w:r>
        <w:t>ZH Obergericht, 2017-02-08, DE</w:t>
      </w:r>
    </w:p>
    <w:p>
      <w:r>
        <w:rPr>
          <w:b/>
        </w:rPr>
        <w:t xml:space="preserve">Quelle: </w:t>
      </w:r>
      <w:r>
        <w:t>https://mcp.opencaselaw.ch/entscheid/zh_obergericht_SU170005</w:t>
      </w:r>
    </w:p>
    <w:p>
      <w:r>
        <w:t>FR: ZH_OBERGERICHT SU170005 du 8 février 2017</w:t>
      </w:r>
    </w:p>
    <w:p>
      <w:r>
        <w:t>IT: ZH_OBERGERICHT SU170005 del 8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Zürich, 4. Abteilung - Einzelgericht, vom 29. September 2016 wurde der Beschuldigte vom Vorwurf der Tätlichkeiten frei- gesprochen (Urk. 63 S. 15). Der Entscheid wurde dem Privatkläger A._____ am 30. September 2016 schriftlich im Dispositiv eröffnet (Urk. 57/2). In Ziff. 4 des Ur- teils findet sich die Rechtsmittelbelehrung. Darin werden die Formalitäten zur Er- hebung der Berufung gemäss den gesetzlichen Vorgaben von Art. 399 StPO kor- rekt und verständlich aufgeführt (Urk. 56 [Urteilsdispositiv]; Urk. 60 = Urk. 63 [be- gründete Fassung]). Gegen diesen Entscheid liess der Privatkläger durch seinen Rechtsvertreter, Rechtsanwalt lic. iur. X._____, fristgerecht Berufung anmelden (Urk. 58). Mit Zuschrift vom 21. November 2016 teilte dieser mit, dass er den Pri- vatkläger ab sofort nicht mehr vertrete (Urk. 59). Das schriftlich begründete Urteil wurde daraufhin dem Privatkläger am 9. Januar 2017 zugestellt (Urk. 62/3).</w:t>
      </w:r>
    </w:p>
    <w:p>
      <w:r>
        <w:rPr>
          <w:b/>
        </w:rPr>
        <w:t>E. 2</w:t>
      </w:r>
    </w:p>
    <w:p>
      <w:r>
        <w:t>Gemäss Art. 399 Abs. 1 StPO ist die Berufung beim erstinstanzlichen Ge- richt innert 10 Tagen mündlich oder schriftlich anzumelden. Der Berufungskläger hat dann innert 20 Tagen seit der Zustellung des begründeten Urteils eine schrift- liche Berufungserklärung einzureichen (Art. 399 Abs. 3 StPO). Das Einreichen einer Berufungserklärung ist zwingend und folglich keine blosse Ordnungsvor- schrift. Dies ergibt sich aus Art. 403 Abs. 1 lit. a StPO, wonach auf die Berufung nur eingetreten wird, wenn eine Berufungserklärung rechtzeitig erfolgt ist (HUG in: Donatsch/Hansjakob/Lieber (Hrsg.), Kommentar zur Schweizerischen Strafpro- zessordnung, 2. Aufl. 2014, Art. 399 N 10; BSK StPO-EUGSTER, 2. Aufl. 2014, Art. 399 N 2; vgl. auch Urteil des Bundesgerichts 6B_458/2013 vom 4. November 2013 E. 1.3.2. m.H.).</w:t>
      </w:r>
    </w:p>
    <w:p>
      <w:r>
        <w:rPr>
          <w:b/>
        </w:rPr>
        <w:t>E. 3</w:t>
      </w:r>
    </w:p>
    <w:p>
      <w:r>
        <w:t>Der Privatkläger liess zwar rechtzeitig Berufung anmelden, reichte aber in der Folge keine Berufungserklärung ein (Fristende: 30. Januar 2017). Nachdem bei offensichtlicher Unzulässigkeit des Rechtsmittels praxisgemäss auf die Ein- holung von Stellungnahmen der Parteien im Sinne von Art. 403 Abs. 2 StPO ver- zichtet werden kann (vgl. ZR 110/2011 Nr. 69), ist auf die Berufung des Privatklä- gers gestützt auf Art. 403 Abs. 1 und Abs. 3 StPO nicht einzutreten.</w:t>
      </w:r>
    </w:p>
    <w:p>
      <w:r>
        <w:t>- 3 -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des Privatklägers kommt einem Unterliegen gleich (Art. 428 Abs. 1 StPO). Dem Pri- vatkläger sind somit die Kosten für das Berufungsverfahren aufzuerlegen. Die Gerichtsgebühr ist auf Fr. 600.– festzusetzen. Dem Beschuldigten ist mangels erheblicher Aufwendungen im Berufungsverfahren keine Umtriebsentschädigung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