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SU160054 vom 23. August 2016</w:t>
      </w:r>
    </w:p>
    <w:p>
      <w:r>
        <w:t>ZH Obergericht, 2016-08-23, DE</w:t>
      </w:r>
    </w:p>
    <w:p>
      <w:r>
        <w:rPr>
          <w:b/>
        </w:rPr>
        <w:t xml:space="preserve">Quelle: </w:t>
      </w:r>
      <w:r>
        <w:t>https://mcp.opencaselaw.ch/entscheid/zh_obergericht_SU160054</w:t>
      </w:r>
    </w:p>
    <w:p>
      <w:r>
        <w:t>FR: ZH_OBERGERICHT SU160054 du 23 août 2016</w:t>
      </w:r>
    </w:p>
    <w:p>
      <w:r>
        <w:t>IT: ZH_OBERGERICHT SU160054 del 23 agosto 2016</w:t>
      </w:r>
    </w:p>
    <w:p>
      <w:pPr>
        <w:pStyle w:val="Heading2"/>
      </w:pPr>
      <w:r>
        <w:t>Erwägungen</w:t>
      </w:r>
    </w:p>
    <w:p>
      <w:r>
        <w:rPr>
          <w:b/>
        </w:rPr>
        <w:t>E. 1</w:t>
      </w:r>
    </w:p>
    <w:p>
      <w:r>
        <w:t>Mit Urteil des Bezirksgerichts Zürich, 10. Abteilung, vom 22. Juni 2016 wurde der Beschuldigte des Nichtbefolgens einer polizeilichen Anordnung im Sinne von Art. 4 APV schuldig gesprochen und ihm wurde in Anwendung von Art. 26 APV ein Verweis erteilt (Urk. 26). Das Urteil wurde dem Beschuldigten anlässlich der Hauptverhandlung vom 22. Juni 2016 mündlich eröffnet und kurz begründet. Im Anschluss an die Urteilseröffnung meldete der Beschuldigte mündlich Berufung an (Prot. I S. 14). Das begründete Urteil (Urk. 23 = Urk. 26) wurde ihm am 15. Juli 2016 zugestellt (Urk. 24/2).</w:t>
      </w:r>
    </w:p>
    <w:p>
      <w:r>
        <w:rPr>
          <w:b/>
        </w:rPr>
        <w:t>E. 2</w:t>
      </w:r>
    </w:p>
    <w:p>
      <w:r>
        <w:t>Gemäss Art. 399 Abs. 1 StPO ist die Berufung beim erstinstanzlichen Gericht innert 10 Tagen mündlich oder schriftlich anzumelden. Der Berufungskläger hat dann innert 20 Tagen seit der Zustellung des begründeten Urteils eine schriftliche Berufungserklärung einzureichen (Art. 399 Abs. 3 StPO). Das Einreichen einer Berufungserklärung ist zwingend und folglich keine blosse Ordnungsvorschrift. Dies ergibt sich aus Art. 403 Abs. 1 lit. a StPO, wonach auf die Berufung nur eingetreten wird, wenn eine Berufungserklärung rechtzeitig erfolgt ist (HUG, in: Donatsch/Hansjakob/Lieber (Hrsg.), Kommentar zur Schweizerischen Strafprozessordnung, 2. Auflage, Zürich 2014, Art. 399 N 10; BSK StPO-EUGSTER, 2. Aufl. 2014, Art. 399 N 2; vgl. auch Urteil des Bundesgerichts 6B_458/2013 vom 4. November 2013 E. 1.3.2. m.H.).</w:t>
      </w:r>
    </w:p>
    <w:p>
      <w:r>
        <w:rPr>
          <w:b/>
        </w:rPr>
        <w:t>E. 3</w:t>
      </w:r>
    </w:p>
    <w:p>
      <w:r>
        <w:t>Der Beschuldigte meldete zwar rechtzeitig Berufung an, reichte aber in der Folge keine Berufungserklärung ein (Fristende: 4. August 2016). Nachdem bei offensichtlicher Unzulässigkeit des Rechtsmittels praxisgemäss auf die Einholung von Stellungnahmen der Parteien im Sinne von Art. 403 Abs. 2 StPO verzichtet werden kann (vgl. ZR 110/2011 Nr. 69), ist auf die Berufung des Beschuldigten gestützt auf Art. 403 Abs. 1 und Abs. 3 StPO nicht einzutreten.</w:t>
      </w:r>
    </w:p>
    <w:p>
      <w:r>
        <w:rPr>
          <w:b/>
        </w:rPr>
        <w:t>E. 4</w:t>
      </w:r>
    </w:p>
    <w:p>
      <w:r>
        <w:t>Im Rechtsmittelverfahren tragen die Parteien die Kosten nach Massgabe ihres Obsiegens oder Unterliegens. Das Nichteintreten auf das Rechtsmittel des Beschuldigten kommt einem Unterliegen gleich (Art. 428 Abs. 1 StPO). Dem Beschuldigten sind somit die Kosten für das Berufungsverfahren aufzuerlegen. Die Gerichtsgebühr ist auf Fr. 600.– festzusetzen.</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