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SU160053 vom 12. Juni 2017</w:t>
      </w:r>
    </w:p>
    <w:p>
      <w:r>
        <w:t>ZH Obergericht, 2017-06-12, DE</w:t>
      </w:r>
    </w:p>
    <w:p>
      <w:r>
        <w:rPr>
          <w:b/>
        </w:rPr>
        <w:t xml:space="preserve">Quelle: </w:t>
      </w:r>
      <w:r>
        <w:t>https://mcp.opencaselaw.ch/entscheid/zh_obergericht_SU160053</w:t>
      </w:r>
    </w:p>
    <w:p>
      <w:r>
        <w:t>FR: ZH_OBERGERICHT SU160053 du 12 juin 2017</w:t>
      </w:r>
    </w:p>
    <w:p>
      <w:r>
        <w:t>IT: ZH_OBERGERICHT SU160053 del 12 giugno 2017</w:t>
      </w:r>
    </w:p>
    <w:p>
      <w:pPr>
        <w:pStyle w:val="Heading2"/>
      </w:pPr>
      <w:r>
        <w:t>Erwägungen</w:t>
      </w:r>
    </w:p>
    <w:p>
      <w:r>
        <w:rPr>
          <w:b/>
        </w:rPr>
        <w:t>E. 4</w:t>
      </w:r>
    </w:p>
    <w:p>
      <w:r>
        <w:t>Die mit Verfügung der ESBK vom 19. Juni 2014 beschlagnahmte Barschaft im Betrag von Fr. 350.– wird zuhanden der Bundeskasse eingezogen.</w:t>
      </w:r>
    </w:p>
    <w:p>
      <w:r>
        <w:rPr>
          <w:b/>
        </w:rPr>
        <w:t>E. 5</w:t>
      </w:r>
    </w:p>
    <w:p>
      <w:r>
        <w:t>Die erstinstanzliche Gerichtsgebühr wird auf Fr. 1'000.– festgesetzt.</w:t>
      </w:r>
    </w:p>
    <w:p>
      <w:r>
        <w:rPr>
          <w:b/>
        </w:rPr>
        <w:t>E. 6</w:t>
      </w:r>
    </w:p>
    <w:p>
      <w:r>
        <w:t>Die zweitinstanzliche Gerichtsgebühr wird auf Fr. 1'000.– festgesetzt.</w:t>
      </w:r>
    </w:p>
    <w:p>
      <w:r>
        <w:rPr>
          <w:b/>
        </w:rPr>
        <w:t>E. 7</w:t>
      </w:r>
    </w:p>
    <w:p>
      <w:r>
        <w:t>Die Kosten beider Gerichtsinstanzen und die erstinstanzlich festgestellten Untersuchungskosten der ESBK (Dispositivziffer 5) werden dem Beschuldig- ten auferlegt.</w:t>
      </w:r>
    </w:p>
    <w:p>
      <w:r>
        <w:rPr>
          <w:b/>
        </w:rPr>
        <w:t>E. 8</w:t>
      </w:r>
    </w:p>
    <w:p>
      <w:r>
        <w:t>Dem Beschuldigten wird keine Prozessentschädigung zugesprochen.</w:t>
      </w:r>
    </w:p>
    <w:p>
      <w:r>
        <w:rPr>
          <w:b/>
        </w:rPr>
        <w:t>E. 9</w:t>
      </w:r>
    </w:p>
    <w:p>
      <w:r>
        <w:t>Schriftliche Mitteilung in vollständiger Ausfertigung an − die Verteidigung im Doppel für sich und zuhanden des Beschuldigten − die Eidgenössische Spielbankenkommission − die Oberstaatsanwaltschaft des Kantons Zürich und nach unbenütztem Ablauf der Rechtsmittelfrist bzw. Erledigung allfälli- ger Rechtsmittel an − die Vorinstanz − die Eidgenössische Spielbankenkommission mit Rechtskraftstempel (betreffend Dispositivziffer 4) − die Koordinationsstelle VOSTRA mit Formular A.</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- 25 - Die Beschwerdelegitimation und die weiteren Beschwerdevoraussetzungen richten sich nach den massgeblichen Bestimmungen des Bundesgerichts- gesetzes. Obergericht des Kantons Zürich II. Strafkammer Zürich, 12. Juni 2017 Der Präsident: Die Gerichtsschreiberin: Oberrichter lic. iur. Spiess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