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SU160052 vom 7. Dezember 2016</w:t>
      </w:r>
    </w:p>
    <w:p>
      <w:r>
        <w:t>ZH Obergericht, 2016-12-07, DE</w:t>
      </w:r>
    </w:p>
    <w:p>
      <w:r>
        <w:rPr>
          <w:b/>
        </w:rPr>
        <w:t xml:space="preserve">Quelle: </w:t>
      </w:r>
      <w:r>
        <w:t>https://mcp.opencaselaw.ch/entscheid/zh_obergericht_SU160052</w:t>
      </w:r>
    </w:p>
    <w:p>
      <w:r>
        <w:t>FR: ZH_OBERGERICHT SU160052 du 7 décembre 2016</w:t>
      </w:r>
    </w:p>
    <w:p>
      <w:r>
        <w:t>IT: ZH_OBERGERICHT SU160052 del 7 dicembre 2016</w:t>
      </w:r>
    </w:p>
    <w:p>
      <w:pPr>
        <w:pStyle w:val="Heading2"/>
      </w:pPr>
      <w:r>
        <w:t>Erwägungen</w:t>
      </w:r>
    </w:p>
    <w:p>
      <w:r>
        <w:rPr>
          <w:b/>
        </w:rPr>
        <w:t>E. 8</w:t>
      </w:r>
    </w:p>
    <w:p>
      <w:r>
        <w:t>f.; so auch vor Vorinstanz, vgl. Urk. 19 S. 3). Der Verteidigung ist zwar darin zuzustimmen, dass der Zeuge B._____ an- lässlich seiner stadtrichterlichen Einvernahme das Verhalten des Beschuldigten am Tattag nicht konkret beschreiben konnte. Er konnte sich im Detail nicht mehr daran erinnern. Der Verteidiger scheint allerdings auszublenden, dass es sich bei</w:t>
      </w:r>
    </w:p>
    <w:p>
      <w:r>
        <w:t>- 8 - einem Polizeirapport um eine von der Polizei als Strafverfolgungsbehörde zu- sammengetragene Akte handelt, mithin um ein zulässiges Beweismittel (Art. 12 lit. a StPO, Art. 15 StPO, Art. 100 Abs. 1 lit. b StPO und Art. 139 Abs. 1 StPO; vgl. Urteil BGer vom 19. Mai 2014 [6B_1057/2013], E. 2.3 m.w.H.). Dies gilt umso mehr bei Massendelikten wie dem vorliegenden. Ferner lässt die Verteidigung auch unberücksichtigt, dass der Zeuge B._____ in der genannten stadtrichter- lichen Einvernahme sinngemäss bestätigte, den im Rapport gegen den Beschul- digten vermerkten Sachverhalt so auch beobachtet zu haben. Mehrmals betonte er, dass er das nicht so rapportiert hätte, wenn er dies selber nicht auch gesehen hätte (Urk. 12 Nr. 7 und 10). Bei dieser Einvernahme war der Beschuldigte anwe- send und konnte von seinem Anspruch auf rechtliches Gehör, insbesondere von seinem Recht auf Konfrontation und auf Stellen von Ergänzungsfragen uneinge- schränkt Gebrauch machen. Der vom Zeugen B._____ erstellte Polizeirapport vom 8. Mai 2015 ist damit mit der in Anwesenheit des Beschuldigten durchgeführ- ten Zeugeneinvernahme von B._____ und der dabei erfolgten Bestätigung dessen Wahrheitsgehaltes uneingeschränkt verwertbar und voll beweiskräftig (vgl. Urteil BGer vom 3. März 2014 [6B_510/2013], E. 1.3.2). Deshalb durfte die Vorinstanz auf die darin gemachten Ausführungen von B._____ abstellen, ohne den Grund- satz in dubio pro reo, den Anspruch auf ein faires Verfahren und das Willkürverbot zu verletzen. Verdeutlichend sei darauf hinzuweisen, dass die Vorinstanz dabei in Bezug auf das darin rapportierte Geständnis des Beschuldigten zu dessen Guns- ten von einem Missverständnis ausging (Urk. 27 S. 9). Dass der Zeuge B._____ anlässlich der stadtrichterlichen Einvernahme nur noch das Standardprozedere beschreiben konnte, vermag – entgegen dem Ver- teidiger – an dieser Erkenntnis nichts zu ändern. So handelt es sich beim vorge- worfenen Fehlverhalten des Beschuldigten – wie die Vorinstanz zu Recht feststell- te (Urk. 27 S. 8 f.) – um ein anlässlich einer routinemässigen Verkehrskontrolle entdecktes Massendelikt. Der Zeuge B._____ musste an der Tatörtlichkeit allein an diesem Tattag ca. innerhalb nur einer Stunde zusammen mit seinem Kollegen fünf gleiche Verkehrsübertretungen verzeigen. Der Polizeirapport wurde tags darauf am 8. Mai 2015 erstellt, also tatnah. Die darin gemachten Angaben sind in Bezug auf das Überfahren der Sicherheitslinie sowie das vorgeworfene vor-</w:t>
      </w:r>
    </w:p>
    <w:p>
      <w:r>
        <w:t>- 9 - schriftswidrige Überholmanöver eindeutig und klar abgefasst. Als Zeuge einver- nommen wurde der rapportierende Polizeibeamte B._____ erst am 10. März 2016, d.h. knapp ein Jahr nach der rapportierten Wahrnehmung dieses Massen- delikts. Unter diesen Umständen ist es durchaus verständlich, dass er sich knapp ein Jahr nach der Tat nicht mehr an den konkreten Einzelfall erinnern und statt- dessen nur das Standardprozedere beschreiben konnte. Es ist gerichtsnotorisch, dass die Erinnerung umso besser ist, je kürzer ein Ereignis zurückliegt (Urteil BGer vom 26.04.2012 [6B_132/2012], E. 2.4.2). Dies macht seine Aussage gera- de authentisch und realitätsnah. Im Übrigen ist ohnehin allein entscheidend, dass der Zeuge B._____ die wahrheitsmässige Erstellung seines Polizeirapports in Anwesenheit des Beschuldigten mehrmals bestätigte und sich die Schilderung des Standardprozederes mit den darin festgehaltenen Beobachtungen deckt. Die Verteidigung bringt in diesem Zusammenhang weiter vor, dass die Vor- instanz im Ergebnis die Aussage des Zeugen B._____ derjenigen des Beschul- digten vorgezogen habe, obwohl sie beide als gleichwertig gewürdigt habe. Dem kann nicht beigepflichtet werden. Die Vorinstanz kam vielmehr zum Schluss, dass die Belastungen des Zeugen gesamtheitlich, d.h. auch unter Berücksichtigung der höheren Glaubwürdigkeit des Zeugen, uneingeschränkt glaubhaft seien, während sie die Aussagen des Beschuldigten, dessen Glaubwürdigkeit zutreffend als ein- geschränkt gewürdigt wurde, (nur) als grundsätzlich glaubhaft erachtete (Urk. 27 S. 8 f., 11). Diese Erwägungen überzeugen. Wenngleich nämlich die Depositio- nen des Beschuldigten mehrheitlich widerspruchsfrei sind und er den Sachverhalt vorbehältlich des Überfahrens der Sicherheitslinie sowie des Überholens mehre- rer Fahrzeuge anerkennt, vermögen sie unter Berücksichtigung seiner einge- schränkten Glaubwürdigkeit keine von der Darstellung des Polizeibeamten abwei- chende Überzeugung zu schaffen bzw. ernsthafte Zweifel daran zu begründen. Im Ergebnis stellte die Vorinstanz damit willkürfrei auf die Aussagen des Zeugen B._____ ab. 3.2. Die Verteidigung bringt weiter vor, dass die vorinstanzliche Erwägung, wo- nach der Polizeirapport die konkreten, eigenen Beobachtungen des Zeugen B._____ festhalte, aktenwidrig und willkürlich sei. Der Zeuge B._____ habe näm-</w:t>
      </w:r>
    </w:p>
    <w:p>
      <w:r>
        <w:t>- 10 - lich eingeräumt, dass der im Polizeirapport geschilderte Sachverhalt auf einem "copy and paste"-Verfahren basiere. Somit könne eben gerade nicht zweifelsohne festgestellt werden, dass B._____ denjenigen Sachverhalt im Polizeirapport do- kumentiert habe, den er unmittelbar selbst wahrgenommen habe, zumal Letzteres im Rapport selbst nicht explizit so festgehalten worden sei und es durchaus nahe- liegend sei, dass B._____ beim "Kopieren des Textes" etwas durcheinander ge- bracht haben könne (Urk. 28 S. 3 f.; Urk. 36 S. 3; so bereits auch vor Vorinstanz: Urk. 19 S. 3). Dass der Zeuge den im Polizeirapport umschriebenen Sachverhalt nicht neu verfasste, sondern stattdessen einen in einem gleichgelagerten Fall bereits ver- fassten Sachverhaltstext kopierte und in den Polizeirapport vom 8. Mai 2015 ein- fügte, ist zwar richtig. Dies hat der Zeuge selber eingeräumt. Bei diesem Vorge- hen handelt es sich allerdings nicht um einen unüblichen Vorgang beim Umgang mit Massendelikten der vorliegenden Art. Allein daraus kann entgegen der Vertei- digung mitnichten darauf geschlossen werden, dass der Zeuge als Polizeibeamter wahrheitswidrig eine tatbestandliche Beobachtung bzw. einen tatbestandlichen Sachverhalt rapportiert, den er selber nicht wahrgenommen hat. Einmal mehr ist in diesem Zusammenhang hervorzuheben, dass der Zeuge anlässlich seiner stadtrichterlichen Einvernahme glaubhaft angab, dass nur dann rapportiert werde, wenn man sehe, dass jemand die Sicherheitslinie an der Tatörtlichkeit überfahre (Urk. 12 Nr. 7, 10). Es besteht keinerlei Anlass, an der Glaubhaftigkeit dieser Aussage zu zweifeln. Es ist kein Interesse des Zeugen B._____ erkennbar, den Beschuldigten mit einer unwahren Angabe zu Unrecht zu belasten. Auch gibt es keine Anhaltspunkte dafür, dass der Zeuge etwas durcheinander gebracht haben könnte. Die Vorinstanz ist somit willkürfrei davon ausgegangen, dass der Zeuge bei der Rapportierung seine eigenen Beobachtungen festhielt (vgl. Urk. 27 S. 9). Eine aktenwidrige Erwägung ist nicht erkennbar. 3.3. Die Verteidigung rügt sodann die vorinstanzliche Feststellung, dass die Sicht des Zeugen B._____ nicht eingeschränkt gewesen sei, weil es hierfür keine An- haltspunkte gäbe. Dies sei offensichtlich unrichtig. So ergäbe sich explizit aus den Aussagen des Beschuldigten, welche die Vorinstanz als grundsätzlich glaubhaft</w:t>
      </w:r>
    </w:p>
    <w:p>
      <w:r>
        <w:t>- 11 - gewürdigt habe, ein entsprechender Anhaltspunkt. Gemäss den Aussagen des Beschuldigten sei B._____, bevor er ihn angehalten habe, nicht am üblichen Be- obachtungsstandort positioniert gewesen. Daraus ergäbe sich, dass er den Be- schuldigten bzw. dessen Fehlverhalten überhaupt nicht habe sehen können. Die Vorinstanz habe damit die Aussagen des Beschuldigten willkürlich ausser Acht gelassen (Urk. 28 S. 4; Urk. 36 S. 5 f., m.H. auf Urk. 27 S. 9). Dass die Glaubhaftigkeit der Aussagen von B._____ – entgegen der Be- hauptung der Verteidigung – höher als diejenige des Beschuldigten ist, wurde be- reits erwogen. Ebenso wurde schon festgestellt, dass deshalb auf die Aussagen von B._____ abzustellen ist (vgl. oben E. II.3.1). B._____ sagte diesbezüglich explizit folgendes aus: "Ich sehe jeden, der dort eine Übertretung begeht, sonst rapportiere ich nicht." (vgl. Urk. 12 Nr. 10). Da der Zeuge B._____ gegen den Be- schuldigten rapportierte (Urk. 1), muss er den Beschuldigten – ausgehend von der genannten glaubhaften Aussage – beim fehlerhaften Überholmanöver und dem Überfahren der Sicherheitslinie gesehen haben. Allein das ist entscheidend und nicht, wo sich der Zeuge genau befand. Die beanstandete Feststellung des Vor- derrichters ist damit weder offensichtlich unrichtig noch willkürlich. Im Gegenteil deckt sie sich sogar mit der Aktenlage. So gab der Beschuldigte selbst anlässlich seiner stadtrichterlichen Einvernahme an, dass B._____ ihm anlässlich seiner Anhaltung mit den Händen diejenige Distanz gezeigt habe, um welche er die Si- cherheitslinie überfahren habe (Urk. 11 S. 2), was B._____ nicht hätte tun kön- nen, wenn er das fehlerhafte Überholmanöver überhaupt nicht gesehen hätte. 3.4. Schliesslich macht der Beschuldigte geltend, dass die vorinstanzliche Erwä- gung, wonach es aufgrund der faktischen Gegebenheiten überhaupt nicht möglich gewesen sei, ein Überholmanöver mit genügendem seitlichen Abstand innerhalb der Fahrbahn durchzuführen, offensichtlich unrichtig sei. Sie stelle eine krasse Missachtung des Grundsatzes "in dubio pro reo" dar und verletze den Anspruch des Beschuldigten auf rechtliches Gehör sowie das Immutabilitätsprinzip (Urk. 36 S. 6 - 8; Urk. 28 S. 4 - 7). Die Vorinstanz vermochte in ihrer Beweiswürdigung – entgegen den Ausfüh- rungen der Verteidigung – willkürfrei und überzeugend aufzuzeigen, dass die fak-</w:t>
      </w:r>
    </w:p>
    <w:p>
      <w:r>
        <w:t>- 12 - tischen Gegebenheiten an der Rämistrasse (ca. auf Höhe der Liegenschaft 100) ein Überholmanöver von mehreren Autos ohne Überfahren der Sicherheitslinie nicht zuliessen (Urk. 27 S. 10 f.). So folgerte der Vorderrichter gestützt auf die im Recht liegenden Übersichtsaufnahmen des Tatortes und die glaubhaften Aussa- gen des Zeugen B._____ schlüssig und zutreffend, dass die Rämistrasse an der Stelle, wo der Beschuldigte das Überholmanöver vornahm, hierfür zu schmal sei. Die Vorinstanz ging dabei sogar zu Gunsten des Beschuldigten davon aus, dass er das Überholmanöver – wie von ihm behauptet – kurz nach dem ersten Fuss- gängerstreifen vornahm, wo die gesamte Fahrbahnbreite (inkl. Fahrradstreifen) unbestrittenermassen ca. 4 m betrug (vgl. Urk. 28 S. 5). Hiervon sei die Breite des Fahrradstreifens von ca. 1 m abzuziehen, da davon auszugehen sei, dass ein Au- tofahrer bei rechtskonformem Verhalten den Radstreifen nicht benutze, d.h. nicht ganz rechts auf der Strasse fahre. Dem ist – entgegen den konkret hiergegen vorgebrachten Einwänden der Verteidigung (Urk. 36 S. 7) – vollumfänglich zuzu- stimmen. So ergibt sich aus Art. 46 Abs. 1 SVG und Art. 40 Abs. 3 VRV, dass selbst die mit einer unterbrochenen Linie abgegrenzten Radstreifen grundsätzlich Radfahrern vorbehalten sind (vgl. Art. 1 Abs. 7 VRV) und eben nur ausnahms- weise von Fahrzeugen befahren werden dürfen; nämlich nur dann, wenn sie den Fahrradverkehr dadurch nicht behindern. Radfahrer geniessen auf Radstreifen das Vortrittsrecht gegenüber Fahrzeugen (GIGER, SVG-Kommentar, N 1 zu Art. 46 Abs. 1 SVG; vgl. Art. 40 Abs. 4 VRV). Von der Einhaltung dieser Grundsätze durch die am Tattag auf der genannten Fahrbahn fahrenden Autos muss – mit der Vorinstanz – unter Verweis auf den Vertrauensgrundsatz gemäss Art. 26 SVG ausgegangen werden. Wenn die Vorinstanz nun – unter Abzug der Breite der Fahrradbahn – feststellt, dass bei einer Fahrbahnbreite von ca. 3 m das Überho- len von mindestens zwei, in einer rollenden Kolonne stehenden Fahrzeugen ohne Überfahren der Sicherheitslinie beinahe unmöglich sei, so ist dies weder willkür- lich noch verletzt es den Grundsatz "in dubio pro reo". Dieses Erkenntnis wäre im Übrigen auch unabhängig von der Lenkerbreite des vom Beschuldigten gefahre- nen Motorrades haltbar, weshalb die diesbezüglichen Ausführungen der Verteidi- gung unbehelflich sind. Es bleibt schliesslich darauf hinzuweisen, dass sich die Rügen der Verteidigung zur vorinstanzlichen Würdigung der Übersichtsaufnah-</w:t>
      </w:r>
    </w:p>
    <w:p>
      <w:r>
        <w:t>- 13 - men (Urk. 36 S. 6 f.) in einer appellatorischen Kritik erschöpfen. Die Verteidigung legt nämlich ihren diesbezüglichen Schlussfolgerungen lediglich ihre eigene Wür- digung dieses Beweismittels zugrunde. Darauf ist nicht einzugehen. 4. Damit beruht die vorinstanzliche Sachverhaltserstellung weder auf Fehlern noch auf Rechtsverletzungen. Die entsprechenden Feststellungen sind ferner haltbar und stehen mit der tatsächlichen Situation in keinem Widerspruch. In Übereinstimmung mit der Vorinstanz ist der inkriminierte Sachverhalt somit er- stellt. III. Rechtliche Würdigung Die Vorinstanz sprach den Beschuldigten der einfachen Verkehrsregel- verletzung im Sinne von Art. 90 Abs. 1 SVG in Verbindung mit Art. 27 Abs. 1 SVG, Art. 35 Abs. 2 und Abs. 3 SVG sowie Art. 73 Abs. 6 lit. a SSV (Urk. 27 S. 14) schuldig. Der Beschuldigte hat sich weder vor Vorinstanz noch im Berufungsverfahren zur rechtlichen Würdigung (auch nicht eventualiter) geäussert (vgl. Urk. 19; Urk. 28; Urk. 36). Die rechtliche Würdigung des Vorderrichters ist nicht zu beanstanden. Es kann in zustimmender Weise hierauf verwiesen werden (Urk. 27 S. 12; Art. 82 Abs. 4 StPO). Der vorinstanzliche Schuldspruch ist somit zu bestätigen. IV. Strafe 1. Die Vorinstanz befand eine Busse von Fr. 300.– für angemessen (Urk. 27 S. 12 f.). Der Beschuldigte ging weder in seiner Berufungserklärung noch in deren Begründung auf die von der Vorinstanz ausgefällte Bussenhöhe ein. 2. Die Vorinstanz hat korrekt dargelegt, dass gestützt auf Art. 90 Abs. 1 SVG eine Busse auszusprechen ist, welche gemäss Art. 106 Abs. 1 StGB maximal Fr. 10'000.– betragen kann. Ebenso richtig ist die Erwägung, dass die Strafe in- nerhalb des Strafrahmens nach den Verhältnissen des Täters so zu bemessen ist, dass dieser die Strafe erleidet, die seinem Verschulden angemessen ist (Urk. 27</w:t>
      </w:r>
    </w:p>
    <w:p>
      <w:r>
        <w:t>- 14 - S. 12). Nachfolgend ist zu prüfen, ob die von der Vorinstanz ausgesprochene Höhe der Busse diesen Vorgaben entspricht. 3. Mit äusserst knapper Begründung kam die Vorinstanz zum Schluss, dass das Verschulden des Beschuldigten als nicht mehr leicht zu qualifizieren sei. Weshalb sie trotz dieser Einschätzung so tief im unteren Bereich des möglichen Strafrahmens von bis zu Fr. 10'000.– blieb, ist nicht ganz nachvollziehbar. Im Er- gebnis erscheint jedoch die von der Vorinstanz festgelegte Bussenhöhe von Fr. 300.– angemessen, ist doch das Tatverschulden gesamthaft als sehr leicht einzustufen. Das verkehrswidrige Verhalten dauerte nämlich nur kurz, es entstan- den weder Sach- noch Personenschaden. In subjektiver Hinsicht handelte der Beschuldigte mit direktem Vorsatz, sodass die subjektive Tatschwere die objekti- ve Schwere der Tat nicht zu relativieren vermag. Es liegen weder straferhöhende noch -mindernde Täterkomponenten vor. Der Beschuldigte hat keine Vorstrafen, ist nicht geständig und weder einsichtig noch reuig. Zu berücksichtigen bleibt schliesslich, dass der Beschuldigte ein monatliches Nettoeinkommen von Fr. 1'200.– hat, von seinem Vater Unterhaltsbeiträge in Höhe von Fr. 397.– erhält und über ein liquides Vermögen von ca. Fr. 5'000.– verfügt (Urk. 35/1-6). Aus all diesen Gründen ist der Beschuldigte – in Übereinstimmung mit der Vorinstanz – mit einer Busse von Fr. 300.– zu bestrafen. 4. Gemäss Art. 106 Abs. 2 StGB ist für den Fall der schuldhaften Nichtbezah- lung der Busse eine Ersatzfreiheitsstrafe zu bestimmen. Diese ist nach den Ver- hältnissen des Täters so zu bemessen, dass sie seinem Verschulden angemes- sen ist (Art. 106 Abs. 3 StGB), wobei dem Gericht bei der Bemessung ein weiter Ermessensspielraum zusteht (BGE 134 IV 60 E. 7.3.3). Praxisgemäss ist von einem Umwandlungssatz von Fr. 100.– pro Tag auszugehen. Die von der Vor- instanz festgesetzte Ersatzfreiheitsstrafe von 3 Tagen erweist sich somit als an- gemessen.</w:t>
      </w:r>
    </w:p>
    <w:p>
      <w:r>
        <w:t>- 15 - V. Kosten Ausgangsgemäss ist das vorinstanzliche Kostendispositiv (Ziff. 4 und 5) zu be- stätigen (Art. 426 Abs. 1 StPO). Da der Beschuldigte im Berufungsverfahren mit seinem Antrag auf Freispruch unterliegt, sind ihm die Kosten dieses Verfahrens aufzuerlegen (Art. 428 Abs. 1 StPO).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