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SU160023 vom 30. August 2016</w:t>
      </w:r>
    </w:p>
    <w:p>
      <w:r>
        <w:t>ZH Obergericht, 2016-08-30, DE</w:t>
      </w:r>
    </w:p>
    <w:p>
      <w:r>
        <w:rPr>
          <w:b/>
        </w:rPr>
        <w:t xml:space="preserve">Quelle: </w:t>
      </w:r>
      <w:r>
        <w:t>https://mcp.opencaselaw.ch/entscheid/zh_obergericht_SU160023</w:t>
      </w:r>
    </w:p>
    <w:p>
      <w:r>
        <w:t>FR: ZH_OBERGERICHT SU160023 du 30 août 2016</w:t>
      </w:r>
    </w:p>
    <w:p>
      <w:r>
        <w:t>IT: ZH_OBERGERICHT SU160023 del 30 agosto 2016</w:t>
      </w:r>
    </w:p>
    <w:p>
      <w:pPr>
        <w:pStyle w:val="Heading2"/>
      </w:pPr>
      <w:r>
        <w:t>Erwägungen</w:t>
      </w:r>
    </w:p>
    <w:p>
      <w:r>
        <w:rPr>
          <w:b/>
        </w:rPr>
        <w:t>E. 1</w:t>
      </w:r>
    </w:p>
    <w:p>
      <w:r>
        <w:t>Der Prozessverlauf bis zum erstinstanzlichen Urteil ergibt sich aus dem an- gefochtenen Entscheid (Urk. 16 S. 2 f.).</w:t>
      </w:r>
    </w:p>
    <w:p>
      <w:r>
        <w:rPr>
          <w:b/>
        </w:rPr>
        <w:t>E. 2</w:t>
      </w:r>
    </w:p>
    <w:p>
      <w:r>
        <w:t>Mit Urteil des Bezirksgerichts Bülach, Einzelgericht, vom 18. Februar 2016 wurde der Beschuldigte der Übertretung von Art. 96 Abs. 1 lit. c SVG in Verbin- dung mit Art. 29 SVG, Art. 30 Abs. 2 SVG und mit Art. 67 Abs. 1 und 2 VRV sowie mit Art. 100 Ziff. 1 SVG schuldig gesprochen und mit einer Busse von Fr. 400.–</w:t>
      </w:r>
    </w:p>
    <w:p>
      <w:r>
        <w:t>- 4 - bestraft; die Kosten mit einer Entscheidgebühr von Fr. 900.– wurden dem Be- schuldigten auferlegt (Urk. 16 S. 10 f.).</w:t>
      </w:r>
    </w:p>
    <w:p>
      <w:r>
        <w:rPr>
          <w:b/>
        </w:rPr>
        <w:t>E. 3</w:t>
      </w:r>
    </w:p>
    <w:p>
      <w:r>
        <w:t>Gegen dieses Urteil liess der Beschuldigte mit Eingabe vom 22. Februar 2016 innert der zehntägigen Frist von Art. 399 Abs. 1 StPO Berufung anmelden (Urk. 11). Nachdem dem Beschuldigten bzw. dessen Verteidiger das begründete Urteil am 16. März 2016 zugestellt worden war (Urk. 15), ging die Berufungserklä- rung vom 5. April 2016 fristgerecht (Art. 399 Abs. 3 StPO) hierorts ein (Urk. 18).</w:t>
      </w:r>
    </w:p>
    <w:p>
      <w:r>
        <w:rPr>
          <w:b/>
        </w:rPr>
        <w:t>E. 4</w:t>
      </w:r>
    </w:p>
    <w:p>
      <w:r>
        <w:t>Das Statthalteramt verzichtete auf die Erstattung einer Berufungsantwort und beantragte (lediglich) die Bestätigung des vorinstanzlichen Urteils (Urk. 35).</w:t>
      </w:r>
    </w:p>
    <w:p>
      <w:r>
        <w:rPr>
          <w:b/>
        </w:rPr>
        <w:t>E. 5</w:t>
      </w:r>
    </w:p>
    <w:p>
      <w:r>
        <w:t>Gemäss Art. 96 Abs. 1 lit. c SVG wird bestraft, wer die mit dem Fahrzeug- ausweis oder der Bewilligung von Gesetzes wegen oder im Einzelfall verbunde- nen Beschränkungen oder Auflagen, namentlich über das zulässige Ge- samtgewicht, missachtet. Auch Art. 30 Abs. 2 SVG hält fest, dass Fahrzeuge nicht überladen werden dürfen. Dass der Lastwagen des Beschuldigten objektiv überladen war, steht fest (Urk. 2/2) und wird auch nicht bestritten (vgl. Urk. 18; Urk. 30).</w:t>
      </w:r>
    </w:p>
    <w:p>
      <w:r>
        <w:rPr>
          <w:b/>
        </w:rPr>
        <w:t>E. 6</w:t>
      </w:r>
    </w:p>
    <w:p>
      <w:r>
        <w:t>Die Kosten des Berufungsverfahrens werden dem Beschuldigten auferlegt.</w:t>
      </w:r>
    </w:p>
    <w:p>
      <w:r>
        <w:rPr>
          <w:b/>
        </w:rPr>
        <w:t>E. 7</w:t>
      </w:r>
    </w:p>
    <w:p>
      <w:r>
        <w:t>Schriftliche Mitteilung in vollständiger Ausfertigung an − die erbetene Verteidigung (im Doppel für sich und den Beschuldigten) − das Statthalteramt Bezirk Bülach − die Oberstaatsanwaltschaft des Kantons Zürich sowie nach Ablauf der Rechtsmittelfrist bzw. Erledigung allfälliger Rechtsmit- tel an die Vorinstanz (unter Rücksendung der Akten).</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30. August 2016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