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SU150119 vom 8. Januar 2016</w:t>
      </w:r>
    </w:p>
    <w:p>
      <w:r>
        <w:t>ZH Obergericht, 2016-01-08, DE</w:t>
      </w:r>
    </w:p>
    <w:p>
      <w:r>
        <w:rPr>
          <w:b/>
        </w:rPr>
        <w:t xml:space="preserve">Quelle: </w:t>
      </w:r>
      <w:r>
        <w:t>https://mcp.opencaselaw.ch/entscheid/zh_obergericht_SU150119</w:t>
      </w:r>
    </w:p>
    <w:p>
      <w:r>
        <w:t>FR: ZH_OBERGERICHT SU150119 du 8 janvier 2016</w:t>
      </w:r>
    </w:p>
    <w:p>
      <w:r>
        <w:t>IT: ZH_OBERGERICHT SU150119 del 8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Bezirksgerichts Zürich vom 29. Oktober 2015 wurde die Be- schuldigte der Verkehrsregelverletzung im Sinne von Art. 90 Abs. 1 SVG in Ver- bindung mit Art. 49 Abs. 2 SVG und Art. 47 VRV schuldig gesprochen und mit einer Busse von Fr. 40.-- bestraft. Es wurde eine Ersatzfreiheitsstrafe von 1 Tag festgesetzt. Der Entscheid wurde der Beschuldigten am 29. Oktober 2015 schrift- lich im Dispositiv eröffnet (Urk. 34 und Urk. 36/2A). In Ziffer 7 des Urteils findet sich die Rechtsmittelbelehrung. Darin werden die Formalitäten zur Erhebung der Berufung gemäss den gesetzlichen Vorgaben von Art. 399 StPO korrekt und ver- ständlich aufgeführt (Urk. 34 [Urteilsdispositiv]; Urk. 37 = Urk. 40 [begründete Fassung]). Mit Eingabe vom 30. Oktober 2015 liess die Beschuldigte Berufung anmelden (Urk. 35). Am 30. November 2015 wurde das begründete Urteil (Urk. 37 = Urk. 40) dem Vertreter der Beschuldigten zugestellt (Urk. 39/2).</w:t>
      </w:r>
    </w:p>
    <w:p>
      <w:r>
        <w:rPr>
          <w:b/>
        </w:rPr>
        <w:t>E. 2</w:t>
      </w:r>
    </w:p>
    <w:p>
      <w:r>
        <w:t>Gemäss Art. 399 Abs. 1 StPO ist die Berufung beim erstinstanzlichen Ge- richt innert 10 Tagen mündlich oder schriftlich anzumelden. Die Berufungsklägerin hat dann innert 20 Tagen seit der Zustellung des begründeten Urteils eine schrift- liche Berufungserklärung einzureichen (Art. 399 Abs. 3 StPO). Das Einreichen einer Berufungserklärung ist zwingend und folglich keine blosse Ordnungsvor- schrift. Dies ergibt sich aus Art. 403 Abs. 1 lit. a StPO, wonach auf die Berufung nur eingetreten wird, wenn eine Berufungserklärung rechtzeitig erfolgt ist (HUG, in: Donatsch/Hansjakob/Lieber (Hrsg.), Kommentar zur Schweizerischen Strafpro- zessordnung, 2. Auflage, Zürich 2014, Art. 399 N 10; BSK StPO-EUGSTER, 2. Aufl. 2014, Art. 399 N 2; vgl. auch Urteil des Bundesgerichts 6B_458/2013 vom</w:t>
      </w:r>
    </w:p>
    <w:p>
      <w:r>
        <w:rPr>
          <w:b/>
        </w:rPr>
        <w:t>E. 4</w:t>
      </w:r>
    </w:p>
    <w:p>
      <w:r>
        <w:t>Im Rechtsmittelverfahren tragen die Parteien die Kosten nach Massgabe ihres Obsiegens oder Unterliegens. Das Nichteintreten auf das Rechtsmittel der Beschuldigten kommt einem Unterliegen gleich (Art. 428 Abs. 1 StPO). Der Beschuldigten sind somit die Kosten für das Berufungsverfahren aufzuerlegen. Die Gerichtsgebühr ist auf Fr. 600.-- festzusetzen.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