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SU150100 vom 29. März 2016</w:t>
      </w:r>
    </w:p>
    <w:p>
      <w:r>
        <w:t>ZH Obergericht, 2016-03-29, DE</w:t>
      </w:r>
    </w:p>
    <w:p>
      <w:r>
        <w:rPr>
          <w:b/>
        </w:rPr>
        <w:t xml:space="preserve">Quelle: </w:t>
      </w:r>
      <w:r>
        <w:t>https://mcp.opencaselaw.ch/entscheid/zh_obergericht_SU150100</w:t>
      </w:r>
    </w:p>
    <w:p>
      <w:r>
        <w:t>FR: ZH_OBERGERICHT SU150100 du 29 mars 2016</w:t>
      </w:r>
    </w:p>
    <w:p>
      <w:r>
        <w:t>IT: ZH_OBERGERICHT SU150100 del 29 marzo 2016</w:t>
      </w:r>
    </w:p>
    <w:p>
      <w:pPr>
        <w:pStyle w:val="Heading2"/>
      </w:pPr>
      <w:r>
        <w:t>Erwägungen</w:t>
      </w:r>
    </w:p>
    <w:p>
      <w:r>
        <w:rPr>
          <w:b/>
        </w:rPr>
        <w:t>E. 1</w:t>
      </w:r>
    </w:p>
    <w:p>
      <w:r>
        <w:t>Der Prozessverlauf bis zum erstinstanzlichen Urteil ergibt sich aus dem an- gefochtenen Entscheid. Zu korrigieren ist einzig, dass dem Beschuldigten mit Strafbefehl vom 27. Oktober 2014 nicht Gebühren in der Höhe von Fr. 710.–, sondern lediglich von Fr. 360.– auferlegt wurden (Urk. 3/2; das Total inkl. Busse betrug schliesslich Fr. 710.–). Ferner datiert der zweite Strafbefehl, den das Statt- halteramt Bezirk Dielsdorf erliess, vom 24. März 2015 (und nicht vom 24. März 2014). Mit diesen Präzisierungen kann auf den vorinstanzlichen Entscheid betref- fend Prozessgeschichte verwiesen werden (Urk. 178 S. 3; Art. 82 Abs. 4 StPO).</w:t>
      </w:r>
    </w:p>
    <w:p>
      <w:r>
        <w:rPr>
          <w:b/>
        </w:rPr>
        <w:t>E. 2</w:t>
      </w:r>
    </w:p>
    <w:p>
      <w:r>
        <w:t>Mit Urteil des Bezirksgerichts Dielsdorf, Strafsachen, vom 10. Juli 2015 wur- de der Beschuldigte der Verkehrsregelverletzung gemäss Art. 90 Abs. 1 SVG in Verbindung mit Art. 43 Abs. 3 SVG, Art. 14 Abs. 1 VRV und Art. 36 Abs. 4 VRV</w:t>
      </w:r>
    </w:p>
    <w:p>
      <w:r>
        <w:t>- 4 - schuldig gesprochen und mit einer Busse von Fr. 250.– bestraft; die Kosten des gerichtlichen Verfahrens mit einer Entscheidgebühr von Fr. 1'500.– wurden dem Beschuldigten auferlegt (Urk. 17 S. 14 f.).</w:t>
      </w:r>
    </w:p>
    <w:p>
      <w:r>
        <w:rPr>
          <w:b/>
        </w:rPr>
        <w:t>E. 3</w:t>
      </w:r>
    </w:p>
    <w:p>
      <w:r>
        <w:t>Gegen dieses Urteil liess der Beschuldigte mit Eingabe vom 13. Juli 2015 innert der zehntägigen Frist von Art. 399 Abs. 1 StPO Berufung anmelden (Urk. 12). Nachdem dem Beschuldigten bzw. dessen Verteidiger das begründete Urteil am 21. September 2015 zugestellt worden war (Urk. 16/2), ging dessen Be- rufungserklärung vom 23. September 2015 fristgerecht (Art. 399 Abs. 3 StPO) hierorts ein (Urk. 18).</w:t>
      </w:r>
    </w:p>
    <w:p>
      <w:r>
        <w:rPr>
          <w:b/>
        </w:rPr>
        <w:t>E. 4</w:t>
      </w:r>
    </w:p>
    <w:p>
      <w:r>
        <w:t>Nach Eingang der Akten am 29. Oktober 2015 wurde dem Statthalteramt Bezirk Dielsdorf (im Folgenden: Statthalteramt) mit Präsidialverfügung vom</w:t>
      </w:r>
    </w:p>
    <w:p>
      <w:r>
        <w:rPr>
          <w:b/>
        </w:rPr>
        <w:t>E. 4.1</w:t>
      </w:r>
    </w:p>
    <w:p>
      <w:r>
        <w:t>Wer zur Gewährung des Vortritts verpflichtet ist, darf den Vortrittsberechtig- ten in seiner Fahrt nicht behindern (Art. 14 Abs. 1 Satz 1 VRV). Den Vortrittsbe- 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 digkeit brüsk zu ändern (Urteil des Bundesgerichtes 6B_438/2015 vom 28. Oktober 2015 E. 1.3.3 mit Verweis auf Urteil 6B_509/2010 vom 14. März 2011 E. 3.3.2 mit Hinweis). Etwas ausführlicher erwog das Bundesgericht zum Begriff der Behinderung im Sinne von Art. 14 Abs. 1 VRV in seinem Urteil 6B_821/2014 vom 2. April 2015 in E. 1.3 das Folgende: Während früher eine Behinderung be- reits angenommen wurde, wenn der Vortrittsberechtigte seine Fahrt nicht gleich- mässig und ungestört fortsetzen konnte, fasst die Rechtsprechung den Begriff</w:t>
      </w:r>
    </w:p>
    <w:p>
      <w:r>
        <w:t>- 12 - heute enger. Sie bejaht eine Behinderung, falls der Berechtigte seine Fahrweise brüsk ändern muss, d.h. vor, auf oder kurz nach einer Verzweigung zu brüskem Bremsen, Beschleunigen oder Ausweichen gezwungen wird. Diese Begriffsein- schränkung erfolgte, um den besonderen Verhältnissen bei hohem Verkehrsauf- kommen Rechnung zu tragen. Das darf aber nicht zur Entwertung des Vortritts- rechts – einer Grundregel des Strassenverkehrs – führen. Solche Regeln müssen klar und einfach zu handhaben sein. Deshalb ist unter dem Gesichtspunkt von Art. 14 Abs. 1 VRV eine erhebliche Behinderung nur ausnahmsweise zu vernei- nen (vgl. BGE 114 IV 146; Urteile 6B_453/2012 vom 19. Februar 2013 E. 2.2.2; 6B_10/2011 vom 29. März 2011 E. 2.2.2; je mit Hinweisen). Bei der Beurteilung, ob eine Behinderung vorliegt, sind verschiedene Interessen zu berücksichtigen wie die Rechtssicherheit durch einfache und klare Regeln, die Verkehrsflüssigkeit auf den vortrittsberechtigten Fahrbahnen sowie besonders schwierige Situationen der Vortrittsbelasteten (SCHAFFHAUSER, Grundriss des schweizerischen Strassen- verkehrsrechts, Band I, 2. Aufl. 2002, N 866).</w:t>
      </w:r>
    </w:p>
    <w:p>
      <w:r>
        <w:rPr>
          <w:b/>
        </w:rPr>
        <w:t>E. 4.2</w:t>
      </w:r>
    </w:p>
    <w:p>
      <w:r>
        <w:t>Zwar wollte sich der Beschuldigte in eine zu kleine Lücke einfügen, weshalb sich sein Fahrzeug erst zu 2/3 auf der Normalspur befand und noch nicht voll- ständig eingegliedert war (Beilage A zu Urk. 3/13). Gemäss erstelltem Sachver- halt standen der Beschuldigte und der Unfallbeteiligte – in jener Position – jedoch während 20 Sekunden still, bevor es zur Kollision kam (dies im Gegensatz zum Entscheid des Bundesgerichts 6B_453/2012 vom 19. Februar 2013, wo sich das Fahrzeug des Vortrittsberechtigten im Schritttempo näherte). Es ist daher nicht ersichtlich, inwiefern der Kollisionsbeteiligte durch das Einspurmanöver des Be- schuldigten in seiner Fahrt behindert worden wäre. Der Lenker eines wegen Staus bereits stillstehenden Fahrzeuges kann nicht mehr behindert werden, da er sich ohnehin nicht mehr frei im Verkehr bewegen kann. Die Vorinstanz bezieht sich in ihren Erwägungen zur Frage der Behinderung – un- ter anderem – auf den Entscheid des Bundesgerichts 6B_10/2011 vom 29. März 2011 (vgl. Urk. 17 S. 8) und kommt zum Schluss, dass bei der Prüfung der Behin- derung die anschliessende Weiterfahrt des Sattelschleppers miteinzubeziehen sei. Dies gilt vorliegend nicht. In der Situation, die jenem höchstrichterlichen Ent-</w:t>
      </w:r>
    </w:p>
    <w:p>
      <w:r>
        <w:t>- 13 - scheid zugrunde lag, herrschte kein hohes Verkehrsaufkommen. Der Beschwer- deführer in jenem Verfahren hätte den Lastwagen vor seinem Manöver vorbeifah- ren lassen können (vgl. a.a.O. E. 2.3.1 f.). In casu herrschte dagegen hohes Ver- kehrsaufkommen. Der Beschuldigte hätte sich somit – spätestens am Ende der Zufahrtsstrecke – ohnehin vor irgendein Fahrzeug im dichten Verkehr auf der Normalspur einfügen müssen. Es ist angesichts des hohen Verkehrsaufkommens auszuschliessen, dass er sich problemlos und ohne Behinderung eines anderen Fahrzeuges auf der Normalspur hätte eingliedern können, selbst wenn er den Lastwagen hätte passieren lassen oder bis zum Ende der Zufahrtsstrecke vorge- fahren wäre. Es lag daher eine schwierige Verkehrssituation vor. Eine relevante Behinderung ist unter diesen Umständen nicht zu erkennen, dies umso mehr, als der Lastwagen, bevor er wieder losfuhr, 20 Sekunden still stand.</w:t>
      </w:r>
    </w:p>
    <w:p>
      <w:r>
        <w:rPr>
          <w:b/>
        </w:rPr>
        <w:t>E. 4.3</w:t>
      </w:r>
    </w:p>
    <w:p>
      <w:r>
        <w:t>Der Beschuldigte musste schliesslich, nachdem er 20 Sekunden in dieser schrägen Position – teils auf der Zufahrtsstrecke und teils auf der Normalspur – still gestanden ist, auch nicht damit rechnen, dass der nachfolgende Lastwagen- fahrer ihn nicht sieht. Dies ist, obwohl die Sonne offenbar geblendet hat, kaum vorstellbar. Im Übrigen ist die Frage, wie weit sich der Lastwagenfahrer allenfalls vorschriftswidrig verhalten hat, in diesem Verfahren nicht erheblich und nicht zu beurteilen.</w:t>
      </w:r>
    </w:p>
    <w:p>
      <w:r>
        <w:rPr>
          <w:b/>
        </w:rPr>
        <w:t>E. 4.4</w:t>
      </w:r>
    </w:p>
    <w:p>
      <w:r>
        <w:t>Zusammengefasst kommt man somit zu folgendem Ergebnis: Der Beschul- digte behinderte den Lastwagenfahrer mit seinem Manöver nicht in seiner Fahrt, weshalb er vom Vorwurf der Verletzung der Verkehrsregeln gemäss Art. 90 Abs. 1 SVG in Verbindung mit Art. 43 Abs. 3 SVG, Art. 14 Abs. 1 VRV und Art. 36 Abs. 4 VRV freizusprechen ist. V. Kosten- und Entschädigungsfolgen 1. Die Vorinstanz auferlegte dem Beschuldigten gestützt auf Art. 426 Abs. 1 StPO die Kosten des gerichtlichen Verfahrens sowie die Kosten des Strafbefehls sowie die nachträglichen Gebühren des Statthalteramtes des Bezirkes Dielsdorf (Urk. 17 S. 15). Zufolge des heutigen Freispruches sind die Kosten des erst- instanzlichen Verfahrens auf die Gerichtskasse zu nehmen. Die Kosten des Straf-</w:t>
      </w:r>
    </w:p>
    <w:p>
      <w:r>
        <w:t>- 14 - befehls vom 24. März 2015 sowie die nachträglichen Gebühren des Statthalter- amtes des Bezirkes Dielsdorf sind diesem zur Abschreibung zu überlassen. 2. Die Gerichtsgebühr für das Berufungsverfahren fällt ausser Ansatz. 3. Im Berufungsverfahren werden die Kosten nach Obsiegen und Unterliegen auferlegt (Art. 428 Abs. 1 StPO). Mit dem heutigen Urteil obsiegt der appellieren- de Beschuldigte mit seiner Berufung. Daher sind die Kosten dieses Verfahrens auf die Gerichtskasse zu nehmen. 4. Der Verteidiger des Beschuldigten reichte dem Gericht eine Rechnung an den Beschuldigten über Fr. 6'572.90 ein (Urk. 34) und führte dazu aus, die Pro- zessentschädigung sei nach dieser Honorarnote zu bemessen (Urk. 32 S. 12). Der geltend gemachte Arbeitsaufwand für den Zeitraum von Ende Oktober 2014 bis 8. Februar 2016 von rund 23 Stunden und Spesen von Fr. 236.– sowie das darauf basierende Honorar erscheinen gerechtfertigt. Dem Beschuldigten ist für das gesamte Verfahren (inkl. Untersuchung) somit eine Prozessentschädigung von Fr. 6'572.90 aus der Gerichtskasse zuzusprechen (Art. 429 Abs. 1 lit. a StPO). Es wird erkannt: 1. Der Beschuldigte ist der Verletzung der Verkehrsregeln im Sinne von Art. 90 Abs. 1 SVG in Verbindung mit Art. 43 Abs. 3 SVG, Art. 14 Abs. 1 VRV und Art. 36 Abs. 4 VRV nicht schuldig und wird freigesprochen. 2. Die zweitinstanzliche Gerichtsgebühr fällt ausser Ansatz. 3. Die Kosten beider gerichtlicher Verfahren werden auf die Gerichtskasse ge- nommen. Die Kosten des Strafbefehls vom 24. März 2015 sowie die nachträglichen</w:t>
      </w:r>
    </w:p>
    <w:p>
      <w:r>
        <w:t>- 15 - Gebühren des Statthalteramtes des Bezirkes Dielsdorf werden diesem zur Abschreibung überlassen. 4. Dem Beschuldigten wird für das Untersuchungs- und die beiden ge- richtlichen Verfahren eine Prozessentschädigung von Fr. 6'572.90 aus der Gerichtskasse zugesprochen. 5. Schriftliche Mitteilung in vollständiger Ausfertigung an − die Verteidigung im Doppel für sich und zuhanden des Beschuldigten − das Statthalteramt Bezirk Dielsdorf − die Oberstaatsanwaltschaft des Kantons Zürich sowie nach Ablauf der Rechtsmittelfrist bzw. Erledigung allfälliger Rechts- mittel an − die Vorinstanz − das Strassenverkehrsamt des Kantons Zürich, Abteilung Administrativ- massnahmen (PIN-Nr.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- 16 - Obergericht des Kantons Zürich I. Strafkammer Zürich, 29. März 2016 Der Präsident: Die Gerichtsschreiberin: lic. iur. P. Marti lic. iur. S. Maurer</w:t>
      </w:r>
    </w:p>
    <w:p>
      <w:r>
        <w:rPr>
          <w:b/>
        </w:rPr>
        <w:t>E. 6</w:t>
      </w:r>
    </w:p>
    <w:p>
      <w:r>
        <w:t>November 2015 eine Kopie der Berufungserklärung zugestellt sowie eine Frist von zwanzig Tagen angesetzt, um schriftlich im Doppel zu erklären, ob An- schlussberufung erhoben wird, oder um begründet ein Nichteintreten auf die Be- rufung zu beantragen (Urk. 20). Nachdem das Statthalteramt mit Eingabe vom</w:t>
      </w:r>
    </w:p>
    <w:p>
      <w:r>
        <w:rPr>
          <w:b/>
        </w:rPr>
        <w:t>E. 10</w:t>
      </w:r>
    </w:p>
    <w:p>
      <w:r>
        <w:t>November 2015 mitgeteilt hatte, auf eine Anschlussberufung zu verzichten und es vollumfänglich auf den vorinstanzlichen Entscheid verwies (Urk. 22), ord- nete die zuständige I. Strafkammer des Berufungsgerichts mit Beschluss vom</w:t>
      </w:r>
    </w:p>
    <w:p>
      <w:r>
        <w:rPr>
          <w:b/>
        </w:rPr>
        <w:t>E. 12</w:t>
      </w:r>
    </w:p>
    <w:p>
      <w:r>
        <w:t>November 2015 die schriftliche Durchführung des vorliegenden Verfahrens an und setzte dem Beschuldigten gleichzeitig Frist, die Berufungsanträge zu stellen und zu begründen (Urk. 24). Innert drei Mal erstreckter Frist (Urk. 26; Urk. 28; Urk. 30) liess der Beschuldigte am 8. Februar 2016 seine Berufungsbegründung einreichen (Urk. 32), welche Eingabe mit Verfügung vom 10. Februar 2016 dem Statthalteramt sowie der Vorinstanz zugestellt wurde; zudem wurde Frist zur Ein- reichung der Berufungsantwort bzw. zur freigestellten Vernehmlassung angesetzt (Urk. 36). Die Vorinstanz liess sich innert Frist nicht vernehmen (Urk. 37). Das Statthalteramt teilte am 12. Februar 2016 mit, auf die Einreichung einer Beru- fungsantwort zu verzichten und die Abweisung der Berufung zu beantragen (Urk. 38). Eine Kopie dieser Eingabe wurde dem Beschuldigten am 4. März 2016 zugestellt (Urk. 40). Das vorliegende Verfahren erweist sich daher heute als spruchreif.</w:t>
      </w:r>
    </w:p>
    <w:p>
      <w:r>
        <w:t>- 5 - II. Prozessuales 1. 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 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 StPO Praxiskommentar, 2. Aufl. 2013, Art. 398 N 12 f.; BSK StPO- EUGSTER, 2. Aufl. 2014, Art. 398 N 3a). Willkür bei der Beweiswürdigung liegt vor, wenn der angefochtene Entscheid offensichtlich unhaltbar ist oder mit der tatsäch- lichen Situation in klarem Widerspruch steht. Dass eine andere Lösung oder Wür- digung ebenfalls vertretbar oder gar zutreffender erscheint, genügt für die An- nahme von Willkür nicht (BGE 138 I 305 E. 4.3 mit Hinweisen). Eine vertretbare Beweiswürdigung ist daher auch dann noch nicht willkürlich, wenn die Berufungs- instanz anstelle des Vorderrichters allenfalls anders entschieden hätte. Es ist so- mit zu überprüfen, ob das vorinstanzliche Urteil im Bereich der zulässigen Kogni- tion Fehler aufweist. 2. 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138 IV 81 E. 2.2; BGE 136 I 229 E. 5.2).</w:t>
      </w:r>
    </w:p>
    <w:p>
      <w:r>
        <w:t>- 6 - 3. Der Beschuldigte beschränkt seine Berufung nicht und beantragt einen Frei- spruch (Urk. 32). Damit bildet das ganze vorinstanzliche Urteil Berufungsgegen- stand und ist mithin in keinem Punkt in Rechtskraft erwachsen. III. Sachverhalt 1. Dem Beschuldigten wird im Strafbefehl vom 24. März 2015 – zusammenge- fasst – vorgeworfen, am Donnerstag, 2. Oktober 2014, ca. 17.25 Uhr, mit seinem Personenwagen BMW 325i auf der Autobahn A1, Fahrbahn Richtung Bern, in 8153 Rümlang, gefahren zu sein, wobei er sich auf der Höhe der Autobahnein- fahrt Seebach in eine ca. fünf Meter grosse Lücke zwischen dem auf dem Nor- malstreifen fahrenden Sattelschlepper mit Anhänger von B._____ und einem wei- teren Personenwagen der Marke BMW gedrückt habe. Er habe sich aufgrund der ungenügenden Platzverhältnisse aber nicht vollständig bzw. nur zu ca. 2/3 ein- gliedern können, wobei er ca. zwei bis drei Meter schräg vor dem Sattelschlepper zum Stillstand gekommen sei. Dadurch habe der Beschuldigte nicht nur das Vor- trittsrecht von B._____ missachtet und diesen in seiner Fahrt behindert, sondern auch die Sicherheit anderer Verkehrsteilnehmer gefährdet (Urk. 3/16 S. 1 f.). Nicht mehr vorgeworfen wird dem Beschuldigten somit – im Gegensatz zum (ers- ten) Strafbefehl vom 27. Oktober 2014 (Urk. 3/2) – die Verursachung der Kollision zwischen seinem Personenwagen und dem Lastwagen von B._____. 2. Die Vorinstanz hat zutreffend festgehalten, dass der Sachverhalt grundsätz- lich unbestritten sei und auf den Aussagen des Beschuldigten in der Untersu- chung basiere (Urk. 17 S. 4). Auch vor Vorinstanz erklärte der Beschuldigte – zu- nächst – auf entsprechendes Befragen des Einzelrichters, den Sachverhalt nicht zu bestreiten, aber mit der rechtlichen Würdigung nicht einverstanden zu sein (Urk. 8 S. 3). Allerdings präzisierte er im weiteren Verlauf der Einvernahme, be- reits zu drei Vierteln auf der Normalspur gestanden zu sein (Urk. 8 S. 4 und S. 5); ferner habe die Lücke sieben bis acht Meter bzw. "sicher mehr als fünf Meter" be- tragen (Urk. 8 S. 5 und S. 6). Die Vorinstanz erwog dazu im angefochtenen Ent- scheid, das Fahrzeug (des Beschuldigten) weise eine Diagonale von knapp fünf Metern auf. Vom linken Hinterrad, wo der Beschuldigte touchiert worden sei, er-</w:t>
      </w:r>
    </w:p>
    <w:p>
      <w:r>
        <w:t>- 7 - gebe sich bis zur rechten Vorderecke eine Diagonale von ziemlich genau vier Me- tern. Sollte die Lücke nur rund fünf Meter betragen haben, wie der Beschuldigte anfänglich eingeräumt habe, könne er sich nicht zwei bis drei Meter vor dem Lastwagen befunden haben. Der Vorderrichter kam daher – unter Berücksichti- gung des Umstandes, dass Distanzschätzungen von Unfallbeteiligten aufgrund der ihnen innewohnenden Unsicherheiten und Ungenauigkeiten grundsätzlich nicht als metergenaue Angaben übernommen werden könnten – zum Schluss, der Sachverhalt sei insofern erstellt, als dass die Lücke zwischen dem Sattel- schlepper und dem diesem vorausfahrenden Personenwagen zu gering gewesen sei, als dass sich der Beschuldigte mit seinem Wagen vollständig hätte ein- gliedern können. Vielmehr sei er schräg vor dem Lastwagen stehen geblieben und habe sich mit seinem Wagen teilweise noch immer auf der Zufahrtsstrecke befunden, als es zur Kollision gekommen sei (Urk. 17 S. 4). 3. Die Verteidigung kritisiert die vorinstanzliche Sachverhaltsdarstellung da- hingehend, der Sachverhalt sei offensichtlich unrichtig erstellt. Wenn man das Verständnis des Einzelrichters nehme, wonach das Fahrzeug des Beschuldigten, so wie es in der Normalspur zum Stillstand gekommen sei, in der Diagonale fünf Meter lang gewesen sei, so sei zum Vornherein klar, dass die Lücke grösser ge- wesen sein müsse. Abgesehen von der Distanz zum vorderen stillstehenden BMW habe der Abstand zum Lastwagenfahrer zwei bis drei Meter betragen. Von diesen Angaben sei richtigerweise auszugehen. Der Einzelrichter sei von einer Länge der geschätzten Lücke von fünf Metern ausgegangen, was auch in das Ur- teil eingeflossen sei. Nehme man aber die Diagonale des Fahrzeugs von fünf Me- tern und den dem Beschuldigten zur Last gelegten Abstand zum Lastwagen von zwei bis drei Metern, ergebe sich eine Lücke von acht Metern (Urk. 32 S. 3 f.). Es sei davon auszugehen, dass der Beschuldigte sich in einer stehenden Kolonne in eine rund acht Meter grosse Lücke habe einfügen wollen, mit seinem Fahrzeug zu 2/3 auf der Normalspur gestanden sei und der kollisionsbeteiligte Lastwagenfah- rer, nachdem der Beschuldigte ca. 20 Sekunden stillgestanden sei, aufgefahren sei (Urk. 32 S. 5).</w:t>
      </w:r>
    </w:p>
    <w:p>
      <w:r>
        <w:t>- 8 - 4. Die Sachverhaltserstellung der Vorinstanz ist zu übernehmen. Diese stimmt denn auch bloss dahingehend, als dass die Verteidigung eine Lücke von acht Me- tern zugrunde legt, nicht mit der Ansicht des Beschuldigten überein. Überdies geht die Verteidigung davon aus, dass der Beschuldigte vor der Kollision ca. 20 Sekunden stillgestanden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