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SU150077 vom 16. März 2016</w:t>
      </w:r>
    </w:p>
    <w:p>
      <w:r>
        <w:t>ZH Obergericht, 2016-03-16, DE</w:t>
      </w:r>
    </w:p>
    <w:p>
      <w:r>
        <w:rPr>
          <w:b/>
        </w:rPr>
        <w:t xml:space="preserve">Quelle: </w:t>
      </w:r>
      <w:r>
        <w:t>https://mcp.opencaselaw.ch/entscheid/zh_obergericht_SU150077</w:t>
      </w:r>
    </w:p>
    <w:p>
      <w:r>
        <w:t>FR: ZH_OBERGERICHT SU150077 du 16 mars 2016</w:t>
      </w:r>
    </w:p>
    <w:p>
      <w:r>
        <w:t>IT: ZH_OBERGERICHT SU150077 del 16 marzo 2016</w:t>
      </w:r>
    </w:p>
    <w:p>
      <w:pPr>
        <w:pStyle w:val="Heading2"/>
      </w:pPr>
      <w:r>
        <w:t>Erwägungen</w:t>
      </w:r>
    </w:p>
    <w:p>
      <w:r>
        <w:rPr>
          <w:b/>
        </w:rPr>
        <w:t>E. 9</w:t>
      </w:r>
    </w:p>
    <w:p>
      <w:r>
        <w:t>Entgegen den Ausführungen der Vorinstanz sind die Aussagen des Zeugen D._____ in Bezug auf das Verlassen der Bar um 2.00 Uhr bzw. "plus-minus 2.00 Uhr" nicht glaubhaft. D._____ führte nämlich aus, die Bar sei geschlossen wor- den. Es habe ihm aber niemand gesagt, dass es sich um die letzte Runde handle, er habe es aber gewusst (Urk. 35/5). Gemäss den Aussagen des Zeugen C._____ werden die Gäste grundsätzlich bis ca. 2.00 Uhr bewirtet und nach 2.00 Uhr wird mit den Aufräum- und Reinigungsarbeiten begonnen (Urk. 32/2). Dem- nach hat D._____ die Bar nicht bereits um 2.00 Uhr verlassen, sondern später, als bereits mit den ersten Aufräum- und Reinigungsarbeiten begonnen worden war. Weshalb die Beschuldigte noch in der Bar geblieben sein soll, als D._____ mit F._____ die Bar verliess, zumal die Bar gemäss seinen Angaben geschlossen hatte, ist nicht einleuchtend. Sodann gaben die Beschuldigte und die Zeugin F._____ übereinstimmend an, dass sie die Bar gemeinsam verlassen hätten. Die Aussagen des Zeugen D._____ sind in Bezug auf das Verlassens der Bar nicht glaubhaft. Sie hätten aber ohnehin an der Richtigkeit des Geständnisses der Be- schuldigten keine Zweifel aufkommen lassen können.</w:t>
      </w:r>
    </w:p>
    <w:p>
      <w:r>
        <w:rPr>
          <w:b/>
        </w:rPr>
        <w:t>E. 10</w:t>
      </w:r>
    </w:p>
    <w:p>
      <w:r>
        <w:t>Die Vorinstanz hielt in Bezug auf die Aussagen der Zeugin E._____ zutref- fend fest, dass sie sich nicht mehr daran erinnern konnte, wann sie die Bar ver- lassen hatte (Urk. 51 S. 19). Folglich vermögen ihre Aussagen die Richtigkeit des Geständnisses der Beschuldigten nicht in Frage zu stellen.</w:t>
      </w:r>
    </w:p>
    <w:p>
      <w:r>
        <w:t>- 11 -</w:t>
      </w:r>
    </w:p>
    <w:p>
      <w:r>
        <w:rPr>
          <w:b/>
        </w:rPr>
        <w:t>E. 11</w:t>
      </w:r>
    </w:p>
    <w:p>
      <w:r>
        <w:t>Indem die Vorinstanz zum Schluss kam, es ergäben sich keinerlei Hinweise – weder aufgrund der Einvernahme der Beschuldigten noch der Einvernahmen der Zeugen B._____, C._____, D._____ und F._____ –, wonach das Geständnis der Beschuldigten unzutreffend und der Sachverhalt daher als erstellt zu erachten sei, verfiel sie folglich nicht in Willkür (Urk. 51 S. 19 f.). IV. Rechtliche Würdigung 1. Die Vorinstanz würdigte das Verhalten der Beschuldigten in rechtlicher Hin- sicht als Fahren im fahrunfähigem Zustand im Sinne von Art. 91 Abs. 1 lit. a SVG in Verbindung mit Art. 31 Abs. 2 SVG und Art. 2 Abs. 1 VRV und Art. 1 Abs. 1 VOBAW (Urk. 51 S. 22). 2. Per 1. Januar 2014 ist eine revidierte Fassung von Art. 91 SVG in Kraft ge- treten. Gemäss Art. 102 Abs. 1 SVG sind die allgemeinen Bestimmungen des Strafgesetzbuches anwendbar, soweit das SVG keine abweichenden Vorschriften enthält. Betreffend den zeitlichen Geltungsbereich des revidierten Art. 91 SVG enthält das SVG keine eigene Bestimmung, weshalb die Grundsätze des Art. 2 StGB zur Anwendung gelangen. Somit ist nach der Regel der lex mitior das alte Recht anwendbar, wenn der Täter ein Verbrechen oder Vergehen unter der Herr- schaft des alten Rechtes begangen hat, die Beurteilung aber erst nach Inkrafttre- ten des neuen Rechtes erfolgt, sofern das neue Recht nicht das mildere ist. Vorliegend führt die Anwendung des am 1. Januar 2014 in Kraft getretenen revi- dierten Art. 91 SVG zum gleichen Ergebnis wie die Beurteilung nach der entspre- chenden altrechtlichen Bestimmung. Da das neue Recht somit nicht milder ist, kommt das alte Recht zur Anwendung. 3. Die vorinstanzlichen Ausführungen zur rechtlichen Würdigung sind im übri- gen zutreffend, weshalb auf diese verwiesen werden kann (Art. 82 Abs. 4 StPO; Urk. 51 S. 21 f.). Indem die Beschuldigte ihr Fahrzeug in fahrlässiger Weise mit 0.69 Gewichtspromille Alkohol im Blut lenkte, hat sie sich des fahrlässigen Fah- rens in fahrunfähigem Zustand im Sinne von aArt. 91 Abs. 1 Satz 1 SVG i.V.m.</w:t>
      </w:r>
    </w:p>
    <w:p>
      <w:r>
        <w:t>- 12 - Art. 31 Abs. 2 SVG i.V.m. Art. 2 Abs. 1 VRV und Art. 1 Abs. 1 der Verordnung der Bundesversammlung über Blutalkoholgrenzwerte im Strassenverkehr schuldig gemacht. III. Strafzumessung und Sanktion 1. Fahren in fahrunfähigem Zustand im Sinne von aArt. 91 Abs. 1 Satz 1 SVG wird mit Busse bestraft, welche gemäss Art. 106 Abs. 1 StGB maximal Fr. 10'000.– betragen kann. Die Strafe ist innerhalb des Strafrahmens nach dem Verschulden zu bemessen. 2. In objektiver Hinsicht ist zu berücksichtigen, dass die Beschuldigte ihren Personenwagen mit einer Blutalkoholkonzentration von mindestens 0.69 Ge- wichtspromille lenkte und sie durch ihre Fahrunfähigkeit eine abstrakte Gefähr- dung für sich und andere Verkehrsteilnehmer schuf. Sodann gab es für die Fahrt der Beschuldigten keinen wichtigen Grund. Sie hätte ohne Weiteres mit ihren Freunden oder einem Taxi nach Hause gelangen können. Bezüglich der Ver- kehrs- und Strassenverhältnisse ist festzuhalten, dass die Beschuldigte nachts um ca. 3.00 Uhr auch an einem Wochentag (Freitag) auf der ...strasse beim ...-Tunnel in G._____ mit anderen Verkehrsteilnehmern rechnen musste, zumal die ...strasse als Hauptstrasse durch G._____ führt. Die Sichtverhältnisse waren aufgrund der Dunkelheit erschwert. Die Beschuldigte befuhr die Strecke von der …strasse … in G._____ bis zum Ort der Polizeikontrolle an der ...strasse (…-Tunnel, Richtung …), welche ca. 1 Kilometer beträgt. Sie beabsichtigte jedoch an ihren Wohnort in H._____ zu fahren (Urk. 16/3). Die Beschuldigte wurde somit nur durch die Polizeikontrolle davon abgehalten, diese längere Strecke zurückzu- legen. Insgesamt ist bezüglich des Fahrens im fahrunfähigem Zustand in objekti- ver Hinsicht von einem noch leichten Verschulden auszugehen. 2.1. Beim subjektiven Verschulden ist zu berücksichtigen, dass der Beschuldig- ten lediglich eine fahrlässige Begehung vorgehalten wurde. Insgesamt bleibt es jedoch bei einem noch leichten Verschulden der Beschuldigten.</w:t>
      </w:r>
    </w:p>
    <w:p>
      <w:r>
        <w:t>- 13 - 2.2. Zu den persönlichen Verhältnissen der Beschuldigten kann auf die Ausfüh- rungen im vorinstanzlichen Urteil verwiesen werden (Urk. 51 S. 24). Daraus erge- ben sich keine für die Strafzumessung relevanten Anhaltspunkte. Unter Berück- sichtigung der strafzumessungsrelevanten Faktoren und der finanziellen Verhält- nisse der Beschuldigten erscheint die von der Vorinstanz ausgesprochene Busse von Fr. 600.– angemessen. 3. Für den Fall der schuldhaften Nichtbezahlung der Busse ist eine Ersatzfrei- heitsstrafe auszufällen (Art. 106 Abs. 2 StGB). Diese ist nach den Verhältnissen des Täters so zu bemessen, dass sie seinem Verschulden angemessen ist (Art. 106 Abs. 3 StGB), wobei dem Gericht bei der Bemessung ein weiter Ermes- sensspielraum zusteht (BGE 134 IV 60 E. 7.3.3). In ständiger Praxis erscheint ein Umwandlungssatz von 1 Tag Ersatzfreiheitsstrafe pro Fr. 100.– Busse als ange- messen, so dass die Festsetzung der Ersatzfreiheitsstrafe auf 6 Tage bei schuld- hafter Nichtbezahlung der Busse zu bestätigen ist. IV.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