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SU130060 vom 21. Februar 2014</w:t>
      </w:r>
    </w:p>
    <w:p>
      <w:r>
        <w:t>ZH Obergericht, 2014-02-21, DE</w:t>
      </w:r>
    </w:p>
    <w:p>
      <w:r>
        <w:rPr>
          <w:b/>
        </w:rPr>
        <w:t xml:space="preserve">Quelle: </w:t>
      </w:r>
      <w:r>
        <w:t>https://mcp.opencaselaw.ch/entscheid/zh_obergericht_SU130060</w:t>
      </w:r>
    </w:p>
    <w:p>
      <w:r>
        <w:t>FR: ZH_OBERGERICHT SU130060 du 21 février 2014</w:t>
      </w:r>
    </w:p>
    <w:p>
      <w:r>
        <w:t>IT: ZH_OBERGERICHT SU130060 del 21 febbraio 2014</w:t>
      </w:r>
    </w:p>
    <w:p>
      <w:pPr>
        <w:pStyle w:val="Heading2"/>
      </w:pPr>
      <w:r>
        <w:t>Erwägungen</w:t>
      </w:r>
    </w:p>
    <w:p>
      <w:r>
        <w:rPr>
          <w:b/>
        </w:rPr>
        <w:t>E. 2</w:t>
      </w:r>
    </w:p>
    <w:p>
      <w:r>
        <w:t>Oktober 2012 (Urk. 13 S. 2) des Eindrucks nicht erwehren kann, dass der Zeuge die Situation zu wenig ernst nahm ("Dann Halleluja, dann haben Sie relativ viel studiert."). Daher zweifelte die Vorinstanz völlig zu Recht am Wahrheitsgehalt seiner Aussagen (Urk. 34 S. 14).</w:t>
      </w:r>
    </w:p>
    <w:p>
      <w:r>
        <w:rPr>
          <w:b/>
        </w:rPr>
        <w:t>E. 2.1</w:t>
      </w:r>
    </w:p>
    <w:p>
      <w:r>
        <w:t>Die Vorinstanz hat im Rahmen der Sachverhaltserstellung vorab Ausführun- gen zur Glaubwürdigkeit der befragten Zeugen gemacht (Urk. 34 S. 5 f.). Sie führte richtig aus, dass sowohl die Aussagen der dem Geschädigten wie auch der dem Beschuldigten nahe stehenden Zeugen mit einer gewissen Zurückhaltung zu würdigen seien. Schliesslich hat sie auch zutreffend erkannt, dass die Glaub- haftigkeit der konkreten Aussagen wichtiger ist, als die allgemeine Glaubwürdig- keit der Zeugen. Zu den theoretischen Grundlagen zur Aussagewürdigung kann sodann vollumfänglich auf die Erwägungen im vorinstanzlichen Urteil verwiesen werden (Urk. 34 S. 6 f.).</w:t>
      </w:r>
    </w:p>
    <w:p>
      <w:r>
        <w:rPr>
          <w:b/>
        </w:rPr>
        <w:t>E. 2.2</w:t>
      </w:r>
    </w:p>
    <w:p>
      <w:r>
        <w:t>Die Vorinstanz erkannte sodann zu Recht, dass der Beschuldigte nicht bereits von den Mitarbeitern des Geschädigten abgefangen worden sei, bevor er überhaupt den Geschädigten hätte berühren können (Urk. 34 S. 9 f.). Dabei stützt sich die Vorinstanz entgegen den Ausführungen des Beschuldigten in seiner Berufungsbegründung nicht nur auf eine Skizze des Zeugen C._____ ab, sondern auch auf die Aussagen des Beschuldigten selbst. Der Beschuldigte führte in der polizeilichen Einvernahme am 5. Juli 2010 aus, als er auf der Bootsvermietung gestanden sei, habe der Geschädigte "chömed jetzt" gerufen. Sofort seien drei bis vier Personen gekommen und einer habe ihn in den Schwitzkasten genommen, die anderen hätten ihn festgehalten (Urk. 1/1/3 S. 1). Wenn die Vorinstanz nun aus dieser Aussage sowie aus der Skizze des Zeugen C._____ schliesst, dass die Mitarbeiter des Geschädigten weiter vom Beschuldigten weg gestanden seien als der Geschädigte selbst, so ist dies nicht zu beanstanden.</w:t>
      </w:r>
    </w:p>
    <w:p>
      <w:r>
        <w:rPr>
          <w:b/>
        </w:rPr>
        <w:t>E. 2.3</w:t>
      </w:r>
    </w:p>
    <w:p>
      <w:r>
        <w:t>Sodann widersprechen auch die Ausführungen der Zeugen G._____, C._____ und D._____ der Darstellung des Beschuldigten, er sei überwältigt wor- den, bevor er den Geschädigten erreicht habe. Die Vorinstanz hat die Aussagen der Zeugen korrekt widergegeben (Urk. 34 S. 11 ff.). Alle drei Zeugen sagten je- weils aus, sie hätten erst eingegriffen, als sie gesehen hätten, dass der Geschä-</w:t>
      </w:r>
    </w:p>
    <w:p>
      <w:r>
        <w:t>- 9 - digte in ein Handgemenge verstrickt gewesen sei. Es besteht kein Anlass, an den Aussagen der Zeugen zu zweifeln. Ihre Aussagen enthalten keine groben Wider- sprüche oder Übertreibungen. Die Situation wird von den Zeugen anschaulich und nachvollziehbar dargestellt. Es kann festgehalten werden, dass die Zeugen glaubhaft ausgesagt haben und dass auf ihre Aussagen abgestellt werden kann.</w:t>
      </w:r>
    </w:p>
    <w:p>
      <w:r>
        <w:rPr>
          <w:b/>
        </w:rPr>
        <w:t>E. 2.4</w:t>
      </w:r>
    </w:p>
    <w:p>
      <w:r>
        <w:t>Im Gegensatz dazu erscheinen die Aussagen des Beschuldigten wenig plausibel. Er solle sogleich von der "Eingreiftruppe" des Geschädigten überwältigt worden sein, habe sich losreissen und ins Wasser springen können und sei davon gefahren (Urk. 1/1/3 S. 1 f.; 1/1/11 S. 3). Damit wird mit der Vorinstanz (Urk. 34 S. 10) tatsächlich nicht erklärt, wie es in dieser sehr kurzen Zeit möglich gewesen sein soll, dass jemand das Schiff des Beschuldigten festgebunden haben soll. Sodann findet die Theorie des Beschuldigten, die Angestellten des Geschädigten seien im Tatzeitpunkt nur noch anwesend gewesen, um den Geschädigten zu beschützen, in den Akten keine Stütze. Dass die Bootsvermietung schon geschlossen gewesen sei, schliesst keineswegs aus, dass die Angestellten des Geschädigten noch gearbeitet haben. Auch die Ausführungen des Beschuldigten in seiner Berufungserklärung, wonach der Geschädigte und seine Angestellten ein Interesse gehabt hätten, die Tätlichkeit zu erfinden, um die zuvor erfolgte "Privatverhaftung" zu rechtfertigen, überzeugen nicht.</w:t>
      </w:r>
    </w:p>
    <w:p>
      <w:r>
        <w:rPr>
          <w:b/>
        </w:rPr>
        <w:t>E. 2.5</w:t>
      </w:r>
    </w:p>
    <w:p>
      <w:r>
        <w:t>Nicht zu beanstanden ist auch die Würdigung der Zeugenaussagen der Bekannten des Beschuldigten durch die Vorinstanz (Urk. 34 S. 13 ff.). Wenn die Vorinstanz feststellt, dass die Ehefrau des Beschuldigten in ihrer Aussage vom 19. Juli 2010 innehielt, als es um den Vorwurf der Tätlichkeit ging, kann ihr nicht widersprochen werden. Es fällt in der Tat auf, dass die Zeugin grundsätzlich relativ detailliert aussagt, wo es aber um den Vorwurf der Tätlichkeit geht, keine genauen Angaben machen kann (Urk. 1/1/9 S. 1). Dabei sei sie gemäss Angaben des Beschuldigten unmittelbar beim Geschehen gewesen (vgl. Urk. 35 S. 5), hätte folglich alles genau mitbekommen müssen. Auch die Tatsache, dass der Stadt- richter in seiner Eingabe im Berufungsverfahren nun die Ansicht vertritt, die Zeugin H._____ habe "sachlich, vernünftig und glaubhaft" ausgesagt, vermag die Lücke in den Aussagen der Zeugin nicht zu schliessen (Urk. 44). Vielmehr fällt</w:t>
      </w:r>
    </w:p>
    <w:p>
      <w:r>
        <w:t>- 10 - sogar auf, dass die Zeugin H._____ als einzige auch die Annahme stützte, bei den Angestellten des Geschädigten habe es sich um "Bodyguards" gehandelt, welche vom Geschädigten instruiert worden seien, gegen allfällige Randalierer vorzugehen (Urk. 15 S. 2). Dass diesbezüglich zwischen dem Beschuldigten und der Zeugin H._____ Absprachen getroffen wurden, kann zumindest nicht ausge- schlossen werden. Damit sind die Aussagen der Zeugin mit grösster Zurückhal- tung zu würdigen. Schliesslich hat die Vorinstanz auch die Aussagen der Zeugen E._____ und F._____ gewürdigt und den Schluss gezogen, dass diese keine ver- nünftigen Zweifel begründen würden, dass der Beschuldigte den Geschädigten erreichte bzw. diesem gegenüber trat und erst in der Folge einer kurzen Ausei- nandersetzung mit dem Geschädigten die Gehilfen hinzu kamen (Urk. 34 S. 14 f.). Diese Würdigung der Vorinstanz ist zutreffend. Es ist einzig noch deutlich anzu- merken, dass man sich aufgrund der Einvernahme des Zeugen E._____ vom</w:t>
      </w:r>
    </w:p>
    <w:p>
      <w:r>
        <w:rPr>
          <w:b/>
        </w:rPr>
        <w:t>E. 2.6</w:t>
      </w:r>
    </w:p>
    <w:p>
      <w:r>
        <w:t>Dem Beschuldigten kann sodann zugestimmt werden, dass die Schürfwunde des Geschädigten allein keinen Faustschlag beweist. Aufgrund der Aussagen aller Beteiligten besteht aber letztlich kein Zweifel daran, dass sich der Sach- verhalt so abgespielt hatte, wie im Strafbefehl des Stadtrichteramts Zürich um- schrieben, wobei einschränkend anzufügen ist, dass nur von einem Faustschlag auszugehen ist.</w:t>
      </w:r>
    </w:p>
    <w:p>
      <w:r>
        <w:rPr>
          <w:b/>
        </w:rPr>
        <w:t>E. 2.7</w:t>
      </w:r>
    </w:p>
    <w:p>
      <w:r>
        <w:t>Die rechtliche Würdigung dieses Sachverhalts durch die Vorinstanz ist zu- treffend (Urk. 34 S. 17). Es konnte insbesondere erstellt werden, dass es mindes- tens zu einem Faustschlag des Beschuldigten gegen den Geschädigten gekom- men ist. Dieser kann klar als Tätlichkeit im Sinne von Art. 126 StGB qualifiziert werden, bewirkte er doch keine Schädigung an Körper oder Gesundheit des Geschädigten. Ob der Beschuldigte im Rahmen des Handgemenges zwischen den Parteien weiter versucht hatte, den Geschädigten mit der Faust zu treffen, kann offen bleiben, da der Versuch einer Tätlichkeit ohnehin strafrechtlich nicht</w:t>
      </w:r>
    </w:p>
    <w:p>
      <w:r>
        <w:t>- 11 - relevant ist (Art. 126 Abs. 1 StGB i.V.m. Art. 103 StGB und Art. 22 Abs. 1 StGB). Weiter bestehen entgegen den Ausführungen des Stadtrichters (Urk. 44) keine Anhaltspunkte dafür, dass es sich bei der Tätlichkeit durch den Beschuldigten um eine Retorsion im Sinne von Art. 177 Abs. 3 StGB gehandelt hat. Gemäss den glaubhaften Aussagen des Geschädigten habe man sich vor der physischen Aus- einandersetzung gegenseitig als "Dubel" bzw. "Arsch" beschimpft (Urk. 7 S. 2). Damit wären die Beschimpfungen gegenseitig abgegolten und es besteht kein Raum mehr dafür, in der späteren Tätlichkeit eine Retorsion für die zuvor erfolgte Beschimpfung zu sehen.</w:t>
      </w:r>
    </w:p>
    <w:p>
      <w:r>
        <w:rPr>
          <w:b/>
        </w:rPr>
        <w:t>E. 3</w:t>
      </w:r>
    </w:p>
    <w:p>
      <w:r>
        <w:t>Verletzung der Verkehrsregeln</w:t>
      </w:r>
    </w:p>
    <w:p>
      <w:r>
        <w:rPr>
          <w:b/>
        </w:rPr>
        <w:t>E. 3.1</w:t>
      </w:r>
    </w:p>
    <w:p>
      <w:r>
        <w:t>Die Vorinstanz erachtete es als erwiesen, dass der Einsprecher sehr unge- stüm, das heisst mit weit übersetztem Schub vom Steg weggefahren sei. Zum einen sei das Tau gerissen, mit dem das Boot belegt gewesen sei, zum anderen habe der Einsprecher in der Aufregung offenbar seine beiden Mitpassagiere F._____ und E._____ vergessen, welche immer noch auf dem Steg gestanden seien. Das Verhalten des Beschuldigten passe auch stimmig zur aggressiven Situation und Dynamik des Geschehens (Urk. 34 S. 16).</w:t>
      </w:r>
    </w:p>
    <w:p>
      <w:r>
        <w:rPr>
          <w:b/>
        </w:rPr>
        <w:t>E. 3.2</w:t>
      </w:r>
    </w:p>
    <w:p>
      <w:r>
        <w:t>Dieser Würdigung der Vorinstanz ist nichts entgegen zu setzen, vor allem, wenn man sich die Zeugenaussagen von C._____ und D._____ nochmals in Er- innerung ruft. So führte der Zeuge C._____ von sich aus in der Einvernahme vom 2. Oktober 2012 (Urk. 10 S. 4) aus: "Ich möchte noch erwähnen, was nachher passiert ist, als Herr [H._____] auf das Boot kletterte, das angebunden war. Herr H._____ gab dann Vollgas – ich weiss nicht, ob der Motor die ganze Zeit lief. Von der Kante des Flosses bis zum Seebad … sind es 10-15 m, wo es gerangelt voll war auf dem Floss, wegen dem Zürifest. Nach wenigen Metern riss das Seil, als er parallel zu unserem Floss losfuhr, Richtung Floss Bad …. Er schaffte knapp die Rechtskurve. Meiner Meinung nach hat er die Leute auf dem Floss stark gefährdet. Es hätte durch den Bootsmotor evtl. ein Gemetzel gegeben. Auf jeden Fall ist er beinahe mit dem Floss kollidiert. Wichtig ist, dass er wesentlich schneller gefahren ist, als man darf." Diese Aussage des Zeugen C._____ ist als glaubhaft zu bezeichnen. Der Zeuge erzählte in freier Rede von sich aus, was er</w:t>
      </w:r>
    </w:p>
    <w:p>
      <w:r>
        <w:t>- 12 - beobachtet hatte. Die Aussage ist voller Details, anschaulich widergegeben und nachvollziehbar. Ausserdem ist kein Grund ersichtlich, weshalb der Zeuge den Beschuldigten zu Unrecht belasten sollte, zumal es bei diesem Vorfall sicher nicht mehr darum gegangen sein könnte, zugunsten seines Vorgesetzten – dem Geschädigten – auszusagen. Ausserdem wird die Aussage von C._____ durch die Aussage des Zeugen D._____ bestätigt. Dieser führte auf Frage aus, er erin- nere sich, dass der Beschuldigte beinahe in das Floss der Badi … gefahren sei (Urk. 12 S. 2). Es muss somit als erstellt gelten, das der Beschuldigte nach dem Abfahren bei der Bootsvermietung beinahe mit dem Floss der Badi … kollidierte. Ob der Beschuldigte tatsächlich mit Vollgas davonfuhr, kann grund- sätzlich offenbleiben.</w:t>
      </w:r>
    </w:p>
    <w:p>
      <w:r>
        <w:rPr>
          <w:b/>
        </w:rPr>
        <w:t>E. 3.3</w:t>
      </w:r>
    </w:p>
    <w:p>
      <w:r>
        <w:t>Auch die diversen Einwände des Beschuldigten ändern nichts an dieser Einschätzung. Zum einen ist es keinesfalls so, dass nur, wer im Besitze eines Motorbootführerscheins ist, beurteilen könnte, ob ein Manöver sorgfaltspflicht- widrig gewesen sei. Hier ist zu bemerken, dass durch die Zeugenaussagen und die übrigen Beweismittel vorab der Sachverhalt zu erstellen ist, und hernach ist zu überprüfen, ob das Verhalten des Beschuldigten eine Sorgfaltspflichtverletzung im Sinne des Binnenschifffahrtsgesetzes darstellt. Dies geschieht im Rahmen der rechtlichen Würdigung durch die Anklagebehörde bzw. das zuständige Gericht. Wenn der Beschuldigte auch in seiner Berufungsbegründung wieder anführt, er habe infolge des Defekts eines der beiden Motoren den verbleibenden Motor "energisch betätigen" müssen (Urk. 35 S. 8), ist dies betreffend den noch zu beurteilenden Tatvorwurf der Verkehrsregelverletzung unbehelflich. Diesbezüglich ist aufgrund der entsprechenden, überzeugenden Zeugenaussagen rechts- genügend erstellt, dass das Boot des Beschuldigten als Folge seiner aggressiven, unbeherrschten und unvorsichtigen Fahrweise beinahe mit dem Steg der Bade- anstalt … kollidierte, wodurch die sich darauf befindlichen Gäste der Badeanstalt gefährdet wurden. Dadurch hat der Beschuldigte fraglos eine Sorgfaltspflichtver- letzung im Sinne von Art. 22 Abs. 1 BSG und Art. 5 BSV begangen. Wenn der Beschuldigte die gegen ihn aussagenden Augenzeugen wie auch die den vorliegenden Fall beurteilenden Behörden als inkompetent abqualifiziert, da</w:t>
      </w:r>
    </w:p>
    <w:p>
      <w:r>
        <w:t>- 13 - diese nicht über den Schiffsführerausweis verfügten, ist er schliesslich immerhin als obiter dictum darauf hinzuweisen, dass er grundlegende Regeln der See- mannschaft sträflich verletzt hat: So ist es für jeden Schiffsführer, welcher von Bord seines Fahrzeugs geht, selbstverständlich, dass er es umgehend belegt oder durch seine Crew belegen lässt, damit es nicht abtreibt. Darum hat sich der Beschuldigte nicht gekümmert, als er auf den Steg der Bootsvermietung stürmte. Ebenso selbstverständlich hat ein Schiffsführer, welcher mit seinem Fahrzeug ablegen will, dafür zu sorgen, dass dieses auch klar zum Ablegen ist, also keiner- lei Hindernisse (und dazu gehört auch eine inzwischen belegte Bugleine) das Ablegen behindern. Mit seinem unüberlegten und unbeherrschten Ablegen und dem daraus resultierenden Reissen der Leine hat er mehrere Personen konkret gefährdet, was sich in der Verletzung der Passagierin I._____ – glücklicherweise nur als Bagatelle – auch manifestierte (Urk. 1 S. 10). – Auch – dieses Verhalten war in keiner Weise seemännisch und eigentlich verantwortungslos.</w:t>
      </w:r>
    </w:p>
    <w:p>
      <w:r>
        <w:rPr>
          <w:b/>
        </w:rPr>
        <w:t>E. 3.4</w:t>
      </w:r>
    </w:p>
    <w:p>
      <w:r>
        <w:t>Zusammenfassend kann festgehalten werden, dass auch der Schuldspruch wegen Verletzung der Verkehrsregeln im Sinne von Art. 40 Abs. 1 BSG i.V.m. Art. 22 Abs. 1 BSG und Art. 5 BSV zu bestätigen ist. IV. Strafzumessung 1. Die durch die Vorinstanz ausgesprochene Busse von Fr. 500.-- ist aufgrund der finanziellen Verhältnisse des Beschuldigten (vgl. Urk. 15/3 und 15/5) als eher tief zu bezeichnen. Einer Erhöhung der Busse steht aber das Verschlechterungsver- bot im Sinne von Art. 391 Abs. 2 StPO entgegen, weshalb die Busse von Fr. 500.- - zu bestätigen ist. 2. Ebenfalls zu bestätigen ist die Anordnung einer Ersatzfreiheitsstrafe im Falle der schuldhaften Nichtbezahlung der Busse.</w:t>
      </w:r>
    </w:p>
    <w:p>
      <w:r>
        <w:t>- 14 - V. Kosten 1. Ausgangsgemäss ist das vorinstanzliche Kostendispositiv (Ziffern 5 und 6) zu bestätigen (Art. 426 Abs. 1 StPO). Da der Beschuldigte im Berufungsverfahren vollumfänglich unterliegt, sind ihm die Kosten des Berufungsverfahrens aufzu- erlegen und es ist ihm keine Parteientschädigung zuzusprechen (Art. 428 Abs. 1 StPO). 2. Die zweitinstanzliche Gerichtsgebühr ist auf Fr. 1'000.-- zu veranschlagen. Es wird beschlossen: 1. Es wird festgestellt, dass das Urteil des Bezirksgerichts Zürich, 10. Abtei- lung, vom 22. Januar 2013, wie folgt in Rechtskraft erwachsen ist: "1. […] 2. Der Einsprecher ist nicht schuldig und wird vom Vorwurf des Überschreitens der gesetzlich vorgeschriebenen Höchstgeschwindigkeit im Sinne von Art. 40 Abs. 1 BSG in Verbindung mit Art. 41 BSV, Art. 53 Abs. 1 BSV und Art. 8 Abs. 2 der interkantona- len Vereinbarung über die Schifffahrt auf dem Zürichsee und dem Walensee vom</w:t>
      </w:r>
    </w:p>
    <w:p>
      <w:r>
        <w:rPr>
          <w:b/>
        </w:rPr>
        <w:t>E. 4</w:t>
      </w:r>
    </w:p>
    <w:p>
      <w:r>
        <w:t>Die zweitinstanzliche Gerichtsgebühr wird festgesetzt auf Fr. 1'000.--.</w:t>
      </w:r>
    </w:p>
    <w:p>
      <w:r>
        <w:rPr>
          <w:b/>
        </w:rPr>
        <w:t>E. 5</w:t>
      </w:r>
    </w:p>
    <w:p>
      <w:r>
        <w:t>Die Kosten des Berufungsverfahrens werden dem Beschuldigten auferlegt.</w:t>
      </w:r>
    </w:p>
    <w:p>
      <w:r>
        <w:rPr>
          <w:b/>
        </w:rPr>
        <w:t>E. 6</w:t>
      </w:r>
    </w:p>
    <w:p>
      <w:r>
        <w:t>Schriftliche Mitteilung in vollständiger Ausfertigung an − den Beschuldigten − das Stadtrichteramt Zürich − die Oberstaatsanwaltschaft des Kantons Zürich sowie nach Ablauf der Rechtsmittelfrist bzw. Erledigung allfälliger Rechts- mittel an die Vorinstanz.</w:t>
      </w:r>
    </w:p>
    <w:p>
      <w:r>
        <w:rPr>
          <w:b/>
        </w:rPr>
        <w:t>E. 7</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- 16 - Die Beschwerdelegitimation und die weiteren Beschwerdevoraussetzungen richten sich nach den massgeblichen Bestimmungen des Bundesgerichts- gesetzes. Obergericht des Kantons Zürich I. Strafkammer Zürich, 21. Februar 2014 Der Präsident: Die Gerichtsschreiberin: Dr. F. Bollinger lic. iur. S. Hürlimann Winterhalter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