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SU130009 vom 13. Juni 2013</w:t>
      </w:r>
    </w:p>
    <w:p>
      <w:r>
        <w:t>ZH Obergericht, 2013-06-13, DE</w:t>
      </w:r>
    </w:p>
    <w:p>
      <w:r>
        <w:rPr>
          <w:b/>
        </w:rPr>
        <w:t xml:space="preserve">Quelle: </w:t>
      </w:r>
      <w:r>
        <w:t>https://mcp.opencaselaw.ch/entscheid/zh_obergericht_SU130009</w:t>
      </w:r>
    </w:p>
    <w:p>
      <w:r>
        <w:t>FR: ZH_OBERGERICHT SU130009 du 13 juin 2013</w:t>
      </w:r>
    </w:p>
    <w:p>
      <w:r>
        <w:t>IT: ZH_OBERGERICHT SU130009 del 13 giugno 2013</w:t>
      </w:r>
    </w:p>
    <w:p>
      <w:pPr>
        <w:pStyle w:val="Heading2"/>
      </w:pPr>
      <w:r>
        <w:t>Erwägungen</w:t>
      </w:r>
    </w:p>
    <w:p>
      <w:r>
        <w:rPr>
          <w:b/>
        </w:rPr>
        <w:t>E. 1</w:t>
      </w:r>
    </w:p>
    <w:p>
      <w:r>
        <w:t>Dem Beschuldigten A._____ wird vorgeworfen, er habe am 11. September 2010 um 23.20 Uhr nicht verhindert, dass lärmende Gäste vor der B._____ Bar an der C._____gasse ... in D._____ die Nachtruhe gestört hätten (Urk. 2).</w:t>
      </w:r>
    </w:p>
    <w:p>
      <w:r>
        <w:rPr>
          <w:b/>
        </w:rPr>
        <w:t>E. 2</w:t>
      </w:r>
    </w:p>
    <w:p>
      <w:r>
        <w:t>Mit Bussenverfügung vom 2. Dezember 2010 (Geschäfts-Nr. ...) bestrafte das Stadtrichteramt der Stadt Zürich den Beschuldigten wegen Nichtaufrechter- haltung von Ordnung und guter Sitte durch Nichtverhinderung von Nachtruhestö- rungen mit einer Busse von 100.-- (Urk. 2). Dagegen erhob der Beschuldigte Ein- sprache (Urk. 3).</w:t>
      </w:r>
    </w:p>
    <w:p>
      <w:r>
        <w:rPr>
          <w:b/>
        </w:rPr>
        <w:t>E. 3</w:t>
      </w:r>
    </w:p>
    <w:p>
      <w:r>
        <w:t>Am 19. Dezember 2012 sprach die Vorinstanz den Beschuldigten wegen Nichtaufrechterhaltung von Ordnung und guter Sitte durch Nichtverhinderung von Nachtruhestörungen im Sinne von Art. 25 Abs. 1 und 2 aLSVO i.V.m. Art. 37 AAPV sowie Art. 2 Abs. 1 aLSVO und § 17 Abs. 2 GGG schuldig und bestätigte die Busse von Fr. 100.--, unter Auferlegung der Verfahrenskosten (Urk. 27). Ge- gen dieses Urteil erklärte der Beschuldigte frist- und formgerecht Berufung (Urk. 28), nachdem er bereits zuvor innert Frist Berufung angemeldet hatte (Urk. 23).</w:t>
      </w:r>
    </w:p>
    <w:p>
      <w:r>
        <w:t>- 4 -</w:t>
      </w:r>
    </w:p>
    <w:p>
      <w:r>
        <w:rPr>
          <w:b/>
        </w:rPr>
        <w:t>E. 3.1</w:t>
      </w:r>
    </w:p>
    <w:p>
      <w:r>
        <w:t>Was den Sachverhalt anbelangt, so überprüft das Berufungsgericht nur, ob eine offensichtlich unrichtige Feststellung des Sachverhaltes durch die Vorinstanz gegeben ist.</w:t>
      </w:r>
    </w:p>
    <w:p>
      <w:r>
        <w:rPr>
          <w:b/>
        </w:rPr>
        <w:t>E. 3.2</w:t>
      </w:r>
    </w:p>
    <w:p>
      <w:r>
        <w:t>Zum anderen wird das angefochtene Urteil auf Rechtsverletzungen durch die Vorinstanz hin überprüft; insofern liegt keine Einschränkung der Überprü- fungsbefugnis vor; sämtliche Rechtsfragen sind mit freier Kognition zu prüfen und</w:t>
      </w:r>
    </w:p>
    <w:p>
      <w:r>
        <w:t>- 5 - zwar nicht nur materiellrechtliche, sondern auch prozessuale (vgl. Hug in Zürcher Kommentar, StPO, Zürich 2010, Art. 398 N 23).</w:t>
      </w:r>
    </w:p>
    <w:p>
      <w:r>
        <w:rPr>
          <w:b/>
        </w:rPr>
        <w:t>E. 3.3</w:t>
      </w:r>
    </w:p>
    <w:p>
      <w:r>
        <w:t>Zu erwähnen ist schliesslich, dass neue Behauptungen und Beweise im Berufungsverfahren nicht mehr vorgebracht werden können, wenn – wie hier – ausschliesslich Übertretungen Gegenstand des erstinstanzlichen Hauptverfahrens bildeten (Art. 398 Abs. 4 Satz 2 StPO).</w:t>
      </w:r>
    </w:p>
    <w:p>
      <w:r>
        <w:rPr>
          <w:b/>
        </w:rPr>
        <w:t>E. 4</w:t>
      </w:r>
    </w:p>
    <w:p>
      <w:r>
        <w:t>Die zweitinstanzliche Gerichtsgebühr wird festgesetzt auf Fr. 1'000.--.</w:t>
      </w:r>
    </w:p>
    <w:p>
      <w:r>
        <w:rPr>
          <w:b/>
        </w:rPr>
        <w:t>E. 5</w:t>
      </w:r>
    </w:p>
    <w:p>
      <w:r>
        <w:t>Die Kosten des Berufungsverfahrens werden dem Beschuldigten auferlegt.</w:t>
      </w:r>
    </w:p>
    <w:p>
      <w:r>
        <w:rPr>
          <w:b/>
        </w:rPr>
        <w:t>E. 6</w:t>
      </w:r>
    </w:p>
    <w:p>
      <w:r>
        <w:t>Schriftliche Mitteilung in vollständiger Ausfertigung an − die Verteidigung im Doppel für sich und zuhanden des Beschuldigten − das Stadtrichteramt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- 10 - Die Beschwerdelegitimation und die weiteren Beschwerdevoraussetzungen richten sich nach den massgeblichen Bestimmungen des Bundesgerichts- gesetzes. Obergericht des Kantons Zürich I. Strafkammer Zürich, 13. Juni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