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SU120023 vom 26. November 2012</w:t>
      </w:r>
    </w:p>
    <w:p>
      <w:r>
        <w:t>ZH Obergericht, 2012-11-26, DE</w:t>
      </w:r>
    </w:p>
    <w:p>
      <w:r>
        <w:rPr>
          <w:b/>
        </w:rPr>
        <w:t xml:space="preserve">Quelle: </w:t>
      </w:r>
      <w:r>
        <w:t>https://mcp.opencaselaw.ch/entscheid/zh_obergericht_SU120023</w:t>
      </w:r>
    </w:p>
    <w:p>
      <w:r>
        <w:t>FR: ZH_OBERGERICHT SU120023 du 26 novembre 2012</w:t>
      </w:r>
    </w:p>
    <w:p>
      <w:r>
        <w:t>IT: ZH_OBERGERICHT SU120023 del 26 novembre 2012</w:t>
      </w:r>
    </w:p>
    <w:p>
      <w:pPr>
        <w:pStyle w:val="Heading2"/>
      </w:pPr>
      <w:r>
        <w:t>Erwägungen</w:t>
      </w:r>
    </w:p>
    <w:p>
      <w:r>
        <w:rPr>
          <w:b/>
        </w:rPr>
        <w:t>E. 1</w:t>
      </w:r>
    </w:p>
    <w:p>
      <w:r>
        <w:t>Der Beschuldigte wurde mit Verfügung des Stadtrichters von Zürich vom 31. August 2010 wegen einer Widerhandlung gegen § 8 des kantonalen Ruhe- tags- und Ladenöffnungsgesetzes (LS 822.4) mit Fr. 450.– gebüsst. Ihm wurde vorgeworfen, er habe am Sonntag, den 10. Mai 2009 um ca. 12.10 Uhr als Betrei- ber des Shops der …-Tankstelle am … in B._____ gegen § 8 des Ruhetags- und Ladenöffnungsgesetzes verstossen, da sein Tankstellenshop nicht an einem Hauptverkehrsweg mit starkem Reiseverkehr liege und er ein Warensortiment an- geboten habe, welches nicht überwiegend auf die spezifischen Bedürfnisse von Reisenden ausgerichtet gewesen sei. Dabei wurde dem Beschuldigten angelas- tet, das Warensortiment habe sieben Sorten Wodkamischgetränke, Grosspa- ckungen mit zwölf 0,5 l-Bier Dosen, eine umfassende Auswahl an Frischfleisch, mindestens 13 Sorten Fertiggerichte, mindestens vier Sorten Frischpizzas, sieben Sorten Tiefkühlpizzas, Suppen in Büchsen, verschiedene Sorten Erbsen in Büch- sen sowie mindestens drei Sorten Spaghetti nebst weiteren Pastasorten umfasst. (Urk. 2).</w:t>
      </w:r>
    </w:p>
    <w:p>
      <w:r>
        <w:t>- 4 -</w:t>
      </w:r>
    </w:p>
    <w:p>
      <w:r>
        <w:rPr>
          <w:b/>
        </w:rPr>
        <w:t>E. 2</w:t>
      </w:r>
    </w:p>
    <w:p>
      <w:r>
        <w:t>Mit Urteil des Einzelgerichtes des Bezirkes Zürich (10. Abteilung) vom 21. Februar 2012 wurde der Beschuldigte vom Vorwurf der Übertretung des Ruhe- tags- und Ladenöffnungsgesetzes (LS 822.4) freigesprochen. Dieser Entscheid wurde dem Stadtrichteramt am 27. Februar 2012 in vollständiger Ausfertigung mitgeteilt (Urk. 23/1). Mit Eingabe an die Vorinstanz vom 29. Februar 2012 – der Post übergeben am 1. März 2012 – meldete das Stadtrichteramt in der Folge die Berufung rechtzeitig an (Urk. 24; Art. 399 Abs. 1 StPO), und mit Zuschrift an das Berufungsgericht vom 1. März 2012 – Poststempel: ebenfalls 1. März 2012 – reichte dieses rechtzeitig eine Berufungserklärung ein (Urk. 27/1; Art. 399 Abs. 3 StPO). Mit Präsidialverfügung vom 22. März 2012 wurde dem Beschuldigten die Berufungserklärung zugestellt, und er wurde darauf aufmerksam gemacht, dass ihm eine Frist von 20 Tagen läuft, um Anschlussberufung zu erheben oder ein Nichteintreten auf die Berufung zu beantragen (Urk. 28). Mit Beschluss vom 23. April 2012 wurde das schriftliche Verfahren angeordnet und dem Stadtrichteramt eine 20-tägige Frist angesetzt, um die Berufung zu begründen (Urk. 32). In der Folge begründete das Stadtrichteramt die Berufung mit Eingabe vom 2. Mai 2012 (Urk. 34). Hernach wurde die Berufungsbegründung mit Präsidialverfügung vom</w:t>
      </w:r>
    </w:p>
    <w:p>
      <w:r>
        <w:rPr>
          <w:b/>
        </w:rPr>
        <w:t>E. 7</w:t>
      </w:r>
    </w:p>
    <w:p>
      <w:r>
        <w:t>Mai 2012 dem Beschuldigten zur Berufungsantwort innert 20 Tagen und der Vorinstanz zur freigestellten Stellungnahme innert der gleichen Frist zugestellt (Urk. 36). Die Vorinstanz verzichtete auf eine Vernehmlassung (Urk. 38), und der Beschuldigte beantwortete die Berufung innert erstreckter Frist (Urk. 41) mit Ein- gabe vom 18. Juni 2012 (Urk. 42). Mit Präsidialverfügung vom 21. Juni 2012 wur- de die Berufungsantwort dem Stadtrichteramt zugestellt. Gleichzeitig wurde die- sem eine Frist von zehn Tagen angesetzt, um zur Frage der Verjährung Stellung zu nehmen (Urk. 43), worauf sich dieses mit Zuschrift vom 2. Juli 2012 verneh- men liess (Urk. 45). II. 1. Wie eingangs bereits gezeigt wurde, wird dem Beschuldigten angelastet, sich 10. Mai 2009 wegen einer Widerhandlung gegen § 8 des Ruhetags- und La- denöffnungsgesetzes strafbar gemacht zu haben. Da dieser Tatbestand als Sank-</w:t>
      </w:r>
    </w:p>
    <w:p>
      <w:r>
        <w:t>- 5 - tion Busse bis Fr. 40'000.– bzw., im Falle von Gewinnsucht, Busse in unbe- schränkter Höhe vorsieht, handelt es sich bei ihm um eine Übertretung (Art. 103 StGB). Bei einer solchen beträgt die Verfolgungsverjährungsfrist drei Jahre (Art. 109 StGB). 2. Die Verjährung kann dann nicht mehr eintreten, wenn vor dem Ablauf der Verjährungsfrist ein erstinstanzliches Urteil ergangen ist (Art. 97 Abs. 3 StGB). Dabei ist zu beachten, dass ausschliesslich verurteilende Erkenntnisse als "erst- instanzliche Urteile" im Sinne dieser Bestimmung gelten. Freisprüche fallen mit anderen Worten nicht unter diese Regelung (vgl. dazu BGE 134 IV 328 ff., 331 sowie Hug, in: Donatsch [Hrsg.]/Flachsmann/Hug/Weder, StGB – Schweizeri- sches Strafgesetzbuch, 18. A., Zürich 2010, N 8 zu Art. 97 StGB). Der Beschul- digte wurde wie gezeigt vom Vorderrichter freigesprochen; jenes erstinstanzliche Erkenntnis hatte demnach nicht das Ende der Verjährung zur Folge. 3. Bei der Strafverfügung des Stadtrichters von Zürich vom 31. August 2010 handelt es sich um eine Bussenverfügung nach dem alten zürcherischen Straf- 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 4. 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w:t>
      </w:r>
    </w:p>
    <w:p>
      <w:r>
        <w:t>- 6 - rungsrechtlich als erstinstanzliches Urteil qualifizierte (BGE 133 IV 112 ff., 117). Im vorliegenden Fall wurde der Beschuldigte am 12. November 2009 im Beisein seiner Verteidigerin vor dem Stadtrichteramt befragt (Urk. 1/16). Zudem wurde ihm Akteneinsicht gewährt (vgl. dazu Urk. 1/22) sowie Gelegenheit gegeben, Be- weisanträge zu stellen (vgl. dazu Urk. 1/24). Unter diesen Umständen ist davon auszugehen, dass die Strafverfügung des Stadtrichteramtes Zürich vom 31. Au- gust 2010 verjährungsrechtlich als erstinstanzliches Urteil zu betrachten ist. 5. 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31. August 2010 als "erstinstanzliches Urteil" nichts geändert hat. 6. Zusammengefasst ist festzuhalten, dass der Vorwurf der Widerhandlung gegen § 8 des Ruhetags- und Ladenöffnungsgesetzes nicht verjährt ist.</w:t>
      </w:r>
    </w:p>
    <w:p>
      <w:r>
        <w:t>- 7 -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wird (soweit ersicht- lich, ohne nähere Begründung) zunächst beanstandet, dass die Vorinstanz die Strasse "…" als "Hauptverkehrsweg mit starkem Reiseverkehr" qualifizierte (Urk. 34 S. 3). Darüber hinaus wird geltend gemacht, die Vorinstanz habe hinsichtlich der Beurteilung der Sortimentsbeschränkung die Bestimmungen des Ruhetags- und Ladenöffnungsgesetzes, Art. 1 StGB sowie Art. 8 Abs. 1 BV nicht richtig an- gewandt (Urk. 34 S. 2 ff.). 2. Die Vorinstanz qualifizierte die Strasse "…" als "Hauptverkehrsweg mit starkem Reiseverkehr". Dabei stellte sie zurecht insbesondere auf die verkehrs- technische Bedeutung dieses Verkehrswegs (Zufahrtsstrasse zur …strasse und zur …brücke, Einfallachse in die Stadt aus dem … und aus dem …) und das dor- tige hohe Verkehrsaufkommen (10'000-15'000 Fahrzeuge pro Tag) ab. Auf ihre überzeugenden Ausführungen kann, um unnötige Wiederholungen zu vermeiden, ohne weiteres verwiesen werden (Urk. 26 S. 9 f.; Art. 82 Abs. 4 StPO). 3.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w:t>
      </w:r>
    </w:p>
    <w:p>
      <w:r>
        <w:t>- 8 - auf die spezifischen Bedürfnisse der Reisenden ausgerichtet ist" (§ 3 Abs. 2 der Verordnung zum Ruhetags- und Ladenöffnungsgesetz). 4. a) Was unter einem Waren- und Dienstleistungsangebot zu verstehen ist, welches überwiegend auf die spezifischen Bedürfnisse der Reisenden ausgerich- tet ist, kann der Verordnung zum Ruhetags- und Ladenöffnungsgesetz nicht ent- nommen werden.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w:t>
      </w:r>
    </w:p>
    <w:p>
      <w:r>
        <w:t>- 9 - den spricht, wenn dieser auf dem Heimweg aus den Ferien oder von der Arbeit Lebensmittel besorgt, welche er in der Folge bei sich zu Hause konsumiert (vgl. zum Ganzen den Entscheid 2A.255/2001 betreffend Geschäft der … AG in der Bahnhofshalle des … [E 4.1 und 4.3] sowie den Entscheid 2A.256/2001 betref- fend Betriebe im … und im Bahnhof … [E 6.1]).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(sieben Sorten Wodkamischgetränke, Packungen mit zwölf 0,5 l-Bier Dosen, eine umfassende Auswahl an Frischfleisch, mindestens 13 Sorten Fertiggerichte, mindestens vier Sorten Frischpizzas, sieben Sorten Tief- kühlpizzas, Suppen in Büchsen, verschiedene Sorten Erbsen in Büchsen sowie mindestens drei Sorten Spaghetti nebst weiteren Pastasorten) vor Augen, so vermag dieses bei weitem nicht den üblichen Bedarf eines durchschnittlichen Haushalts abzudecken. Es entspricht in keiner Weise der Breite des Angebots, welches der Kundschaft in herkömmlichen Lebensmittelgeschäften zur Verfügung steht. Ein Verstoss gegen die einschlägigen Bestimmungen des Ruhetags- und Ladenöffnungsgesetzes liegt noch nicht vor. Dies zunächst deshalb, weil auch ein Grundangebot eine gewisse Auswahl bieten darf (bzw. bieten muss, ansonsten die Kundschaft ausbleibt und das Geschäft mangels genügenden Umsatzes nicht überleben kann). Bei den Wodka-Mischgetränken kommt hinzu, dass die ver- meintlich grosse Auswahl dadurch relativiert wird, dass es verschiedene Sorten und Geschmacksrichtungen gibt, weshalb trotz der vermeintlich stattlichen Anzahl verschiedener Getränke lediglich von einem Grundangebot auszugehen ist. Was das beanstandete Bierangebot anbelangt, so verhält es sich einerseits zwar so, dass in einer einzigen Packung tatsächlich eine erhebliche Menge Bier angeboten wird; dieses Angebot ist grenzwertig, sprengt aber nicht den Rahmen dessen,</w:t>
      </w:r>
    </w:p>
    <w:p>
      <w:r>
        <w:t>- 10 - was von vier reisenden Erwachsenen im Verlaufe eines Abends am Zielort ohne weiteres konsumiert werden könnte. Ausserdem verlangt die Wegleitung des SE- CO lediglich, dass die Ware in "handlichen" Volumina bzw. Quanten verkauft wird, was vorliegend gerade noch bejaht werden kann. Dass das Sortiment eine gewis- se Auswahl an Lebensmitteln umfasst, ist schliesslich ebenfalls nicht gesetzes- widrig, darf doch auch ein Grundangebot eine gewisse Breite aufweisen und wäre ein Vollsortiment doch um ein Mehrfaches grösser. Von einer "Grundversorgung der ansässigen Wohnbevölkerung mit Konsumgütern des täglichen Bedarfs" kann keine Rede sein. Die Lebensmittelauswahl beschränkt sich weitgehend auf einige Fertiggerichte oder Produkte, die sich rasch und unkompliziert als bescheidene Mahlzeit zubereiten lassen. Dies entspricht insbesondere einem spezifischen Be- dürfnis von Reisenden, die spät, erst nach offiziellem Ladenschluss nach Hause zurückkehren. Auch insgesamt vermag das Angebot überwiegend nur für eine kurzfristige Überbrückung von unangenehmen Situationen zu genügen, wie sie unvorhergesehen nach der Rückkehr von Reisen in einem Haushalt auftreten können. Es bietet dafür in weiten Teilen nur Verlegenheitslösungen und nicht mehr. Vom Angebot eines herkömmlichen "Dorfladens" hebt sich jenes des Be- schuldigten jedenfalls klar ab. 4. Zusammengefasst verletzt das Urteil der Vorinstanz die Bestimmungen des Ruhetags- und Ladenöffnungsgesetzes nicht, weshalb der Beschuldigte auch in zweiter Instanz vom Vorwurf der Übertretung des Ruhetags- und Ladenöff- nungsgesetzes freizusprechen ist. IV. 1. Bei diesem Ausgang des Verfahrens ist das vorinstanzliche Kosten- und Entschädigungsdispositiv (Dispositiv-Ziff. 2-5) zu bestätigen. 2. Die Kosten des Berufungsverfahrens sind ausgangsgemäss auf die Ge- richtskasse zu nehmen (Art. 428 Abs. 1 StPO). Der Beschuldigte, welcher sich anwaltlich verteidigen liess, hat Anspruch auf eine Prozessentschädigung (Art.</w:t>
      </w:r>
    </w:p>
    <w:p>
      <w:r>
        <w:t>- 11 - 429 Abs. 1 lit. a StPO). Diese ist in Anwendung der Ansätze der AnwGebV (§§ 17 und 18) auf Fr. 3'000.–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