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SU120007 vom 26. November 2012</w:t>
      </w:r>
    </w:p>
    <w:p>
      <w:r>
        <w:t>ZH Obergericht, 2012-11-26, DE</w:t>
      </w:r>
    </w:p>
    <w:p>
      <w:r>
        <w:rPr>
          <w:b/>
        </w:rPr>
        <w:t xml:space="preserve">Quelle: </w:t>
      </w:r>
      <w:r>
        <w:t>https://mcp.opencaselaw.ch/entscheid/zh_obergericht_SU120007</w:t>
      </w:r>
    </w:p>
    <w:p>
      <w:r>
        <w:t>FR: ZH_OBERGERICHT SU120007 du 26 novembre 2012</w:t>
      </w:r>
    </w:p>
    <w:p>
      <w:r>
        <w:t>IT: ZH_OBERGERICHT SU120007 del 26 novembre 2012</w:t>
      </w:r>
    </w:p>
    <w:p>
      <w:pPr>
        <w:pStyle w:val="Heading2"/>
      </w:pPr>
      <w:r>
        <w:t>Erwägungen</w:t>
      </w:r>
    </w:p>
    <w:p>
      <w:r>
        <w:rPr>
          <w:b/>
        </w:rPr>
        <w:t>E. 1</w:t>
      </w:r>
    </w:p>
    <w:p>
      <w:r>
        <w:t>September 2010 wegen einer Widerhandlung gegen § 8 des kantonalen Ruhe- tags- und Ladenöffnungsgesetzes (LS 822.4) mit Fr. 450.– gebüsst. Ihm wurde vorgeworfen, er habe am Sonntag, den 10. Mai 2009 um ca. 12.40 Uhr als Betrei- ber des Shops der …-Tankstelle an der …strasse … in B._____ ein Warensorti- ment angeboten, welches nicht überwiegend auf die spezifischen Bedürfnisse von Reisenden ausgerichtet gewesen sei und deshalb nicht den einschlägigen gesetz- lichen Bestimmungen entsprochen habe (vgl. dazu § 5 des Ruhetags- und La- denöffnungsgesetzes sowie § 3 Abs. 1 lit. e und Abs. 2 der Verordnung zum Ru- hetags- und Ladenöffnungsgesetz [LS 822.41]). Dabei wurde dem Beschuldigten angelastet, das Warensortiment habe mindestens sieben Sorten tiefgefrorene Pizzas, fünf Sorten Pastasaucen in Gläsern, mindestens vier Sorten Fertig-Rösti, mehrere Reissorten, mindestens neun Sekt-/Champagner-sorten, mindestens 31 Sorten Wein, mindestens 12 Biersorten sowie mindestens sieben Sorten Wodka bzw. Wodkamischgetränke umfasst (Urk. 2).</w:t>
      </w:r>
    </w:p>
    <w:p>
      <w:r>
        <w:rPr>
          <w:b/>
        </w:rPr>
        <w:t>E. 2</w:t>
      </w:r>
    </w:p>
    <w:p>
      <w:r>
        <w:t>Mit Urteil des Einzelgerichtes des Bezirkes Zürich (10. Abteilung) vom 15. Dezember 2011 wurde der Beschuldigte vom Vorwurf der Übertretung des Ruhe- tags- und Ladenöffnungsgesetzes freigesprochen.</w:t>
      </w:r>
    </w:p>
    <w:p>
      <w:r>
        <w:t>- 4 -</w:t>
      </w:r>
    </w:p>
    <w:p>
      <w:r>
        <w:rPr>
          <w:b/>
        </w:rPr>
        <w:t>E. 3</w:t>
      </w:r>
    </w:p>
    <w:p>
      <w:r>
        <w:t>Bei der Strafverfügung des Stadtrichters von Zürich vom 1. September 2010 handelt es sich um eine Bussenverfügung nach dem alten zürcherischen Strafprozessrecht,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w:t>
      </w:r>
    </w:p>
    <w:p>
      <w:r>
        <w:t>- 6 - 6B_775/2009 E. 2.1). In einem früheren, einen Entscheid des Amtsstatthalteram-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der Beschuldigte am 13. November 2009 vor dem Stadtrichteramt befragt (Urk. 1/16). Hinweise darauf, dass ihm die Akten nicht zur Einsicht offen standen, sind sodann keine ersichtlich. Unter diesen Umständen ist davon auszugehen, dass die Strafverfügung des Stadtrichteramtes Zürich vom 1. September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1. September 2010 als "erstinstanzliches Urteil" nichts geändert hat.</w:t>
      </w:r>
    </w:p>
    <w:p>
      <w:r>
        <w:t>- 7 -</w:t>
      </w:r>
    </w:p>
    <w:p>
      <w:r>
        <w:rPr>
          <w:b/>
        </w:rPr>
        <w:t>E. 6</w:t>
      </w:r>
    </w:p>
    <w:p>
      <w:r>
        <w:t>Zusammengefasst ist festzuhalten, dass der Vorwurf der Widerhandlung gegen § 8 des Ruhetags- und Ladenöffnungsgesetzes nicht verjährt ist.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sowie Art. 1 StGB nicht richtig angewandt (Urk. 30 S. 2).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w:t>
      </w:r>
    </w:p>
    <w:p>
      <w:r>
        <w:t>- 8 -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Marinello AG in der Bahnhofshalle des Flughafens Zürich-Kloten [E 4.1 und 4.3] sowie den Ent- scheid 2A.256/2001 betreffend Betriebe im Shop Ville Zürich und im Bahnhof Zü- rich-Stadelhofen [E 6.1]).</w:t>
      </w:r>
    </w:p>
    <w:p>
      <w:r>
        <w:t>- 9 -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(mindestens sieben Sorten tiefgefrorene Pizzas, fünf Sorten Pastasaucen in Gläsern, mindestens vier Sorten Fertig-Rösti, mehrere Reissorten, mindestens neun Sekt-/Champagnersorten, mindestens 31 Sorten Wein, mindestens 12 Biersorten sowie mindestens sieben Sorten Wodka bzw. Wodkamischgetränke) vor Augen, erscheint (einzig) die Auswahl an alkoholischen Getränken als recht umfangreich. Sie ist aber bei weitem nicht mit dem Angebot einer Weinhandlung oder auch nur dem üblichen Sortiment in kleinen oder gar grossen Filialen von Grossverteilern zu vergleichen. Ein Verstoss gegen die ein- schlägigen Bestimmungen des Ruhetags- und Ladenöffnungsgesetzes kann darin noch nicht erblickt werden. Dies deshalb, weil auch ein Grundangebot eine ge- wisse Auswahl bieten darf (bzw. bieten muss, ansonsten die Kundschaft ausbleibt und das Geschäft mangels genügenden Umsatzes nicht überleben kann). Bei den Weinen kommt hinzu, dass die vermeintlich grosse Auswahl dadurch relativiert wird, dass Weine aus zahlreichen verschiedenen Ländern stammen (Schweiz, Frankreich, Italien, Spanien, Vereinigte Staaten, Chile, Australien usw.) und es ausserdem unzählige verschiedene Wein- resp. Traubensorten (Cabernet Sau- vignon, Merlot usw.) und entsprechende Unterschiede in Gehalt, Geschmack und Qualität gibt, weshalb trotz der vermeintlich stattlichen Anzahl verschiedener Wei- ne lediglich von einem Grundangebot auszugehen ist. Eine gewisse Auswahl bei solchen Angeboten entspricht durchaus einem Bedürfnis von Reisenden. Ähnlich verhält es sich in Bezug auf die Bier- und Wodkaauswahl: Die Anzahl der angebo- tenen Getränke wird dadurch relativiert, dass es zahlreiche Anbieter bzw. ver- schiedene Sorten und Geschmacksrichtungen gibt. Von einer "Grundversorgung der ansässigen Wohnbevölkerung mit Konsumgütern des täglichen Bedarfs" kann</w:t>
      </w:r>
    </w:p>
    <w:p>
      <w:r>
        <w:t>- 10 - keine Rede sein. Die Lebensmittelauswahl beschränkt sich weitgehend auf einige Fertiggerichte oder Produkte, die sich rasch und unkompliziert als bescheidene Mahlzeit zubereiten lassen. Dies entspricht insbesondere einem spezifischen Be- dürfnis von Reisenden, die spät, erst nach offiziellem Ladenschluss nach Hause zurückkehren. Auch insgesamt vermag das Angebot überwiegend nur für eine kurzfristige Überbrückung von unangenehmen Situationen zu genügen, wie sie unvorhergesehen nach der Rückkehr von Reisen in einem Haushalt auftreten können. Es bietet dafür in weiten Teilen nur Verlegenheitslösungen und nicht mehr. Vom Angebot eines herkömmlichen "Dorfladens" hebt sich jenes des Be- schuldigten jedenfalls klar ab. 4. Zusammengefasst verletzt das Urteil der Vorinstanz die Bestimmungen des Ruhetags- und Ladenöffnungsgesetzes nicht, weshalb der Beschuldigte auch in zweiter Instanz freizusprechen ist. IV. 1. Bei diesem Ausgang des Verfahrens ist das vorinstanzliche Kosten- und Entschädigungsdispositiv (Dispositiv-Ziff. 2-5) zu bestätigen. Die Kosten des Be- rufungsverfahrens sind auf die Gerichtskasse zu nehmen (Art. 428 Abs. 1 StPO). 2. Ausserdem hat der Beschuldigte, welcher sich anwaltlich verteidigen liess, Anspruch auf eine Prozessentschädigung (Art. 429 Abs. 1 lit. a StPO). Die- se ist in Anwendung der Ansätze der AnwGebV (§§ 17 und 18) auf Fr. 3'000.– zu bemessen.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