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SU120006 vom 26. November 2012</w:t>
      </w:r>
    </w:p>
    <w:p>
      <w:r>
        <w:t>ZH Obergericht, 2012-11-26, DE</w:t>
      </w:r>
    </w:p>
    <w:p>
      <w:r>
        <w:rPr>
          <w:b/>
        </w:rPr>
        <w:t xml:space="preserve">Quelle: </w:t>
      </w:r>
      <w:r>
        <w:t>https://mcp.opencaselaw.ch/entscheid/zh_obergericht_SU120006</w:t>
      </w:r>
    </w:p>
    <w:p>
      <w:r>
        <w:t>FR: ZH_OBERGERICHT SU120006 du 26 novembre 2012</w:t>
      </w:r>
    </w:p>
    <w:p>
      <w:r>
        <w:t>IT: ZH_OBERGERICHT SU120006 del 26 novembre 2012</w:t>
      </w:r>
    </w:p>
    <w:p>
      <w:pPr>
        <w:pStyle w:val="Heading2"/>
      </w:pPr>
      <w:r>
        <w:t>Erwägungen</w:t>
      </w:r>
    </w:p>
    <w:p>
      <w:r>
        <w:rPr>
          <w:b/>
        </w:rPr>
        <w:t>E. 1</w:t>
      </w:r>
    </w:p>
    <w:p>
      <w:r>
        <w:t>Der Beschuldigte wurde mit Verfügung des Stadtrichters von Zürich vom</w:t>
      </w:r>
    </w:p>
    <w:p>
      <w:r>
        <w:rPr>
          <w:b/>
        </w:rPr>
        <w:t>E. 2</w:t>
      </w:r>
    </w:p>
    <w:p>
      <w:r>
        <w:t>Mit Urteil des Einzelgerichtes des Bezirkes Zürich (10. Abteilung) vom 15. Dezember 2011 wurde der Beschuldigte vom Vorwurf der Übertretung des Ruhe- tags- und Ladenöffnungsgesetzes freigesprochen. Dieser Entscheid wurde dem Stadtrichteramt am 17. Januar 2012 in vollständiger Ausfertigung mitgeteilt (Urk. 15/1).</w:t>
      </w:r>
    </w:p>
    <w:p>
      <w:r>
        <w:t>- 4 -</w:t>
      </w:r>
    </w:p>
    <w:p>
      <w:r>
        <w:rPr>
          <w:b/>
        </w:rPr>
        <w:t>E. 3</w:t>
      </w:r>
    </w:p>
    <w:p>
      <w:r>
        <w:t>Bei der Strafverfügung des Stadtrichters von Zürich vom 2. September 2010 handelt es sich um eine Bussenverfügung nach dem alten zürcherischen Strafprozessrecht, welches bis zum 31. Dezember 2010 in Kraft stand. Was die Rechtsnatur derartiger Verfügungen anbelangt, hielt die herrschende Lehre dafür, solche Entscheide nicht als erstinstanzliche Urteile im Sinne von Art. 97 Abs. 3 StGB zu betrachten (vgl. dazu Schmid, Strafprozessrecht, 4. A., Zürich 2004, N 930).</w:t>
      </w:r>
    </w:p>
    <w:p>
      <w:r>
        <w:rPr>
          <w:b/>
        </w:rPr>
        <w:t>E. 4</w:t>
      </w:r>
    </w:p>
    <w:p>
      <w:r>
        <w:t>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 6B_775/2009 E. 2.1). In einem früheren, einen Entscheid des Amtsstatthalteram- tes Sursee betreffenden Urteil bejahte das Bundesgericht diese Voraussetzung, da der Beschuldigte im betreffenden Verfahren untersuchungsrichterlich befragt</w:t>
      </w:r>
    </w:p>
    <w:p>
      <w:r>
        <w:t>- 6 - und ihm Akteneinsicht gewährt worden war (6B_927/2008 E. 1.). Beizufügen ist, dass das Bundesgericht in der Vergangenheit auch eine Strafverfügung im Sinne von Art. 70 VStrR – nicht jedoch einen Strafbescheid nach Art. 64 VStrR – verjäh- rungsrechtlich als erstinstanzliches Urteil qualifizierte (BGE 133 IV 112 ff., 117). Im vorliegenden Fall wurde der Beschuldigte am 11. November 2009 vor dem Stadtrichteramt im Beisein seines Verteidigers befragt (Urk. 1/17). Hinweise da- rauf, dass ihm die Akten nicht zur Einsicht offen standen, sind sodann keine er- sichtlich. Unter diesen Umständen ist davon auszugehen, dass die Strafverfügung des Stadtrichteramtes Zürich vom 2. September 2010 verjährungsrechtlich als erstinstanzliches Urteil zu betrachten ist.</w:t>
      </w:r>
    </w:p>
    <w:p>
      <w:r>
        <w:rPr>
          <w:b/>
        </w:rPr>
        <w:t>E. 5</w:t>
      </w:r>
    </w:p>
    <w:p>
      <w:r>
        <w:t>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 Handbuch des schweizerisches Strafprozessrechts, Zürich/St. Gallen 2009, N 1363). Zu beachten ist anderseits aber auch Art. 448 Abs. 2 StPO. Gemäss die- ser (übergangsrechtlichen) Bestimmung behalten Verfahrenshandlungen, die vor dem Inkrafttreten des neuen Rechts angeordnet oder durchgeführt worden sind, ihre Gültigkeit. Daraus folgt, dass das Inkrafttreten der eidgenössischen Strafpro- zessordnung an der Rechtsnatur der Strafverfügung des Stadtrichteramtes vom 2. September 2010 als "erstinstanzliches Urteil" nichts geändert hat.</w:t>
      </w:r>
    </w:p>
    <w:p>
      <w:r>
        <w:rPr>
          <w:b/>
        </w:rPr>
        <w:t>E. 6</w:t>
      </w:r>
    </w:p>
    <w:p>
      <w:r>
        <w:t>Zusammengefasst ist festzuhalten, dass der Vorwurf der Widerhandlung gegen § 8 des Ruhetags- und Ladenöffnungsgesetzes nicht verjährt ist.</w:t>
      </w:r>
    </w:p>
    <w:p>
      <w:r>
        <w:t>- 7 -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argumentiert die Un- tersuchungsbehörde, die Vorinstanz habe hinsichtlich der Beurteilung der Sorti- mentsbeschränkung die Bestimmungen des Ruhetags- und Ladenöffnungsgeset- zes sowie Art. 1 StGB nicht richtig angewandt (Urk. 29 S. 2). 2.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 aufweisen und "ein Waren- und Dienstleistungsangebot führen, das überwiegend auf die spezifischen Bedürfnisse der Reisenden ausgerichtet ist" (§ 3 Abs. 2 der Verordnung zum Ruhetags- und Ladenöffnungsgesetz). 3. a) Was unter einem Waren- und Dienstleistungsangebot zu verstehen ist, welches überwiegend auf die spezifischen Bedürfnisse der Reisenden ausgerich- tet ist, kann der Verordnung zum Ruhetags- und Ladenöffnungsgesetz nicht ent- nommen werden. b) Da wegen des engen sachlichen Zusammenhanges zwischen dem öffent- lichen Arbeitsrecht und den Ladenöffnungszeiten bei der Formulierung von § 3</w:t>
      </w:r>
    </w:p>
    <w:p>
      <w:r>
        <w:t>- 8 - Abs. 2 der Verordnung zum Ruhetags- und Ladenöffnungsgesetz der Wortlaut von Art. 26 Abs. 4 ArGV 2 (Verordnung 2 zum Arbeitsgesetz, SR 822.112) über-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 gen ist, dass das Bundesgericht teilweise auch dann vom Einkauf eines Reisen- den spricht, wenn dieser auf dem Heimweg aus den Ferien oder von der Arbeit Lebensmittel besorgt, welche er in der Folge bei sich zu Hause konsumiert (vgl. zum Ganzen den Entscheid 2A.255/2001 betreffend Geschäft der Marinello AG in der Bahnhofshalle des Flughafens Zürich-Kloten [E 4.1 und 4.3] sowie den Ent- scheid 2A.256/2001 betreffend Betriebe im Shop Ville Zürich und im Bahnhof Zü- rich-Stadelhofen [E 6.1]). d) Aus der Rechtsprechung des Bundesgerichts ergibt sich mit anderen Worten, dass die Ausnahmeregelung von § 3 Abs. 2 der Verordnung zum Ruhe-</w:t>
      </w:r>
    </w:p>
    <w:p>
      <w:r>
        <w:t>- 9 - tags- und Ladenöffnungsgesetz nicht nur ein auf die spezifischen Bedürfnisse der Reisenden ausgerichtetes Warenangebot, sondern auch den Grundbedarf an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(mehrere Sorten Hunde- und Katzenfutter, mindes- tens drei Reissorten, mindestens fünf Sorten Fertigsaucen zu Pastagerichten, mindestens zwei Sorten Fertigrösti im Beutel, mindestens sieben Biersorten, 34 Weinsorten sowie fünf Sorten Wodka-Mischgetränke) vor Augen, erscheint (ein- zig) die Auswahl an alkoholischen Getränken als recht umfangreich. Sie ist aber bei weitem nicht mit dem Angebot einer Weinhandlung oder auch nur dem übli- chen Sortiment in kleinen oder gar grossen Filialen von Grossverteilern zu ver- gleichen. Ein Verstoss gegen die einschlägigen Bestimmungen des Ruhetags- und Ladenöffnungsgesetzes kann darin noch nicht erblickt werden. Dies deshalb, weil auch ein Grundangebot eine gewisse Auswahl bieten darf (bzw. bieten muss, ansonsten die Kundschaft ausbleibt und das Geschäft mangels genügenden Um- satzes nicht überleben kann). Bei den Weinen kommt hinzu, dass die vermeintlich grosse Auswahl dadurch relativiert wird, dass Weine aus zahlreichen verschiede- nen Ländern stammen (Schweiz, Frankreich, Italien, Spanien, Vereinigte Staaten, Chile, Australien usw.) und es ausserdem sehr viele verschiedene Wein- resp. Traubensorten (Cabernet Sauvignon, Merlot usw.) und entsprechende Unter- schiede in Gehalt, Geschmack und Qualität gibt, weshalb trotz der vermeintlich stattlichen Anzahl verschiedener Weine lediglich von einem Grundangebot aus- zugehen ist. Eine gewisse Auswahl bei solchen Angeboten entspricht durchaus einem Bedürfnis von Reisenden. Ähnlich verhält es sich in Bezug auf die Bier- und Wodkaauswahl: Die Anzahl der angebotenen Getränke wird dadurch relati- viert, dass es zahlreiche Anbieter bzw. verschiedene Sorten und Geschmacks- richtungen gibt. Dass das angebotene Haustierfutter mit begrenzter Auswahl ebenfalls zum zulässigen Grundangebot zu zählen ist, bedarf keiner weiteren Be- gründung. Von einer "Grundversorgung der ansässigen Wohnbevölkerung mit Konsumgütern des täglichen Bedarfs" kann keine Rede sein. Die Lebensmittel-</w:t>
      </w:r>
    </w:p>
    <w:p>
      <w:r>
        <w:t>- 10 - auswahl beschränkt sich weitgehend auf einige Fertiggerichte oder Produkte, die sich rasch und unkompliziert als bescheidene Mahlzeit zubereiten lassen. Dies entspricht insbesondere einem spezifischen Bedürfnis von Reisenden, die spät, erst nach offiziellem Ladenschluss nach Hause zurückkehren. Auch insgesamt vermag das Angebot überwiegend nur für eine kurzfristige Überbrückung von un- angenehmen Situationen zu genügen, wie sie unvorhergesehen nach der Rück- kehr von Reisen in einem Haushalt auftreten können. Es bietet dafür in weiten Teilen nur Verlegenheitslösungen und nicht mehr. Vom Angebot eines herkömm- lichen "Dorfladens" hebt sich jenes des Beschuldigten jedenfalls klar ab. 4. Zusammengefasst verletzt das Urteil der Vorinstanz die Bestimmungen des Ruhetags- und Ladenöffnungsgesetzes nicht, weshalb der Beschuldigte auch in zweiter Instanz freizusprechen ist. IV. 1. Bei diesem Ausgang des Verfahrens ist das vorinstanzliche Kosten- und Entschädigungsdispositiv (Dispositiv-Ziff. 2-5) zu bestätigen. Die Kosten des Be- rufungsverfahrens sind auf die Gerichtskasse zu nehmen (Art. 428 Abs. 1 StPO). 2. Ausserdem hat der Beschuldigte, welcher sich anwaltlich verteidigen liess, Anspruch auf eine Prozessentschädigung (Art. 429 Abs. 1 lit. a StPO). Die- se ist in Anwendung der Ansätze der AnwGebV (§§ 17 und 18) auf Fr. 3'000.– zu bemessen.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