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SU110030 vom 2. November 2011</w:t>
      </w:r>
    </w:p>
    <w:p>
      <w:r>
        <w:t>ZH Obergericht, 2011-11-02, DE</w:t>
      </w:r>
    </w:p>
    <w:p>
      <w:r>
        <w:rPr>
          <w:b/>
        </w:rPr>
        <w:t xml:space="preserve">Quelle: </w:t>
      </w:r>
      <w:r>
        <w:t>https://mcp.opencaselaw.ch/entscheid/zh_obergericht_SU110030</w:t>
      </w:r>
    </w:p>
    <w:p>
      <w:r>
        <w:t>FR: ZH_OBERGERICHT SU110030 du 2 novembre 2011</w:t>
      </w:r>
    </w:p>
    <w:p>
      <w:r>
        <w:t>IT: ZH_OBERGERICHT SU110030 del 2 novembre 2011</w:t>
      </w:r>
    </w:p>
    <w:p>
      <w:pPr>
        <w:pStyle w:val="Heading2"/>
      </w:pPr>
      <w:r>
        <w:t>Erwägungen</w:t>
      </w:r>
    </w:p>
    <w:p>
      <w:r>
        <w:rPr>
          <w:b/>
        </w:rPr>
        <w:t>E. 1</w:t>
      </w:r>
    </w:p>
    <w:p>
      <w:r>
        <w:t>Die Beschuldigte ist schuldig des Fahrens in fahrunfähigem Zustand im Sin- ne von Art. 91 Abs. 1 SVG in Verbindung mit Art. 31 Abs. 2 SVG und Art. 2 Abs. 1 VRV.</w:t>
      </w:r>
    </w:p>
    <w:p>
      <w:r>
        <w:rPr>
          <w:b/>
        </w:rPr>
        <w:t>E. 2</w:t>
      </w:r>
    </w:p>
    <w:p>
      <w:r>
        <w:t>Die Beschuldigte wird bestraft mit einer Busse von Fr. 400.–.</w:t>
      </w:r>
    </w:p>
    <w:p>
      <w:r>
        <w:rPr>
          <w:b/>
        </w:rPr>
        <w:t>E. 3</w:t>
      </w:r>
    </w:p>
    <w:p>
      <w:r>
        <w:t>Bezahlt die Beschuldigte die Busse schuldhaft nicht, so tritt an deren Stelle eine Ersatzfreiheitsstrafe von 4 Tagen.</w:t>
      </w:r>
    </w:p>
    <w:p>
      <w:r>
        <w:rPr>
          <w:b/>
        </w:rPr>
        <w:t>E. 4</w:t>
      </w:r>
    </w:p>
    <w:p>
      <w:r>
        <w:t>Die Entscheidgebühr wird festgesetzt auf Fr. 1'000.–.</w:t>
      </w:r>
    </w:p>
    <w:p>
      <w:r>
        <w:rPr>
          <w:b/>
        </w:rPr>
        <w:t>E. 5</w:t>
      </w:r>
    </w:p>
    <w:p>
      <w:r>
        <w:t>a) Die Verzeigte anerkennt, am 3. Oktober 2010 im vorgeworfenen Zeit- punkt auf der …strasse in B._____ unterwegs gewesen und kontrolliert worden zu sein, wobei der anlässlich der Kontrolle durchgeführte Atemlufttest einen Blutal- koholkonzentrationsminimalwert von 0,5 Gewichtspromille ergeben habe. Sie be- streitet jedoch, diese Fahrt im Zustand der Fahrunfähigkeit durchgeführt zu ha- ben. Sie habe bloss einen gespritzten Weisswein getrunken, weshalb das Tester- gebnis nicht stimmen könne. Im vorliegenden Fall habe das Messgerät entweder</w:t>
      </w:r>
    </w:p>
    <w:p>
      <w:r>
        <w:t>- 5 - nicht richtig angezeigt oder die zwingend zu beachtenden Vorgaben für eine kor- rekte Messung seien nicht berücksichtigt worden. Zudem könne mit dem Blastest wegen der ihm notorisch anhaftenden Ungenauigkeit der Nachweis der Fahrunfä- higkeit nicht erbracht werden (Urk. 2/2 S. 1 f.; Urk. 2/12 S. 1 f.; Urk. 11 S. 3 f.; Urk. 12 S. 1 ff.). b) In tatsächlicher Hinsicht ist festzustellen, dass die Verzeigte am 3. Okto- ber 2010 das "Polizeiprotokoll bei Verdacht auf Alkohol-, Betäubungs- oder Arz- neimittelkonsum" unterschrieb. Die Unterschrift befindet sich unmittelbar nach der Rechtsbelehrung mit folgendem Inhalt: "Die Anerkennung des tieferen Messwer- tes hat beweisrechtliche Folgen. Gestützt auf die Feststellung der Blutalkoholkon- zentration werden massnahmerechtliche (Führerausweisentzug, Verwarnung oder Fahrverbot) und strafrechtliche Verfahren eingeleitet" sowie unter den angekreuz- ten Feldern, wonach die Messung anerkannt sei und ausdrücklich keine Blutprobe verlangt werde (Urk. 5 S. 3). c) Die Verzeigte stellt den Atemlufttest als Beweismittel grundsätzlich in Fra- ge. Der Atemlufttest ist eine gebräuchliche Methode zur Feststellung des Alko- holisierungsgrads eines Fahrzeugführers. Gemäss Art. 10 SKV kann die Polizei Vortestgeräte benutzen, welche Auskunft über die Alkoholisierung geben. Ergibt der Vortest hinsichtlich des Alkoholkonsums ein positives Resultat oder wurde auf den Einsatz eines solchen Geräts verzichtet, so wird eine Atem-Alkoholprobe durchgeführt, wobei zwei Messungen erforderlich sind. Liegt der tiefere Wert bei einer Blutalkoholkonzentration von 0,50 Promille und mehr, aber weniger als 0,80 Promille und wird dieser Wert von der betroffenen Person unterschriftlich aner- kannt, so gilt die Fahrunfähigkeit als festgestellt (Art. 11 Abs. 5 lit. a SKV). Eine Blutuntersuchung wird nach Messergebnissen von weniger als 0,8 Promille bei Motorfahrzeugführern nur durchgeführt, wenn die Person den Testwert nicht an- erkennt (Art. 12 Abs. 1 Ziff. 2 SKV). Der Gesetzgeber hat also gewollt, dass es bei einem Atemlufttest sein Bewenden hat, wenn die betroffene Person das Testre- sultat unterschriftlich bestätigt.</w:t>
      </w:r>
    </w:p>
    <w:p>
      <w:r>
        <w:t>- 6 - Wie die Atem-Alkoholprobe korrekt durchzuführen ist, hat das Bundesamt für Strassen ASTRA in den "Weisungen betreffend die Feststellung der Fahrunfä- higkeit im Strassenverkehr" vom 22. Mai 2008 festgehalten (Art. 11 Abs. 3 SKV). Die Weisungen äussern sich sehr detailliert zum korrekten Vorgehen der Kontroll- behörde bei Atemalkoholkontrollen (vgl. Weisungen S. 2, Vorgehen der Kontroll- behörde). Die Anforderungen an die Kontrollgeräte sind im Anhang 1 der Weisun- gen ausführlich dargelegt. Bevor die Geräte zum Einsatz kommen, müssen sie kalibriert werden (Anhang 1, Ziffer 3) und es ist eine Versuchsreihe bezüglich Messgenauigkeit durchzuführen (Anhang 1, Ziffer 5). Art. 11 Abs. 2 lit. b SKV sta- tuiert überdies, dass die Geräte in einem Bereich, der einer Blutalkoholkonzentra- tion von 0,02 - 1,00 Promille entspricht, eine Messungenauigkeit von höchstens 0,05 Promille aufweisen dürfen. Angesichts der hohen Anforderungen, welche an die Messgeräte gestellt werden, lässt sich nicht sagen, die Atem-Alkoholprobe lie- fere notorisch ungenaue Resultate. Vielmehr ist davon auszugehen, dass die heutzutage verwendeten Geräte zuverlässig und genau sind. Im Übrigen hat die Verteidigung nicht dargelegt, worin die Ungenauigkeit bestehen soll oder welche Vorgaben bei Durchführung der Messung missachtet worden sein sollen. Was die mittels Atem-Alkoholprobe konkret ermittelte Blutkonzentration von 0,55 (1. Messung) respektive 0,50 (2. Messung) Promille anbelangt, so hat die Beschuldigte diese Werte unterschriftlich anerkannt (Urk. 2/5 S. 3). Weder hat sie eine Blutprobe gefordert (Art. 12 Abs. 1 lit. a Ziff. 2 SKV) - obwohl sie ausdrücklich auf dieses Recht hingewiesen worden war (Urk. 2/5 S. 3; Urk. 2/12 S. 2) - noch machte sie in jenem Zeitpunkt geltend, das Testgerät habe nicht korrekt gemes- sen respektive die Messung sei nicht korrekt vorgenommen worden. Über die be- weisrechtlichen Folgen der Anerkennung dieser Blutwerte wurde sie aufgeklärt (Urk. 2/5 S. 3). Im heutigen Zeitpunkt lässt sich nicht mehr feststellen, ob das Gerät, mit welchem die Atem-Alkoholprobe vorgenommen wurde, tatsächlich defekt war. Diese Rüge hätte die Verzeigte unmittelbar nach Durchführung des Tests vorbrin- gen müssen. Dann hätte nochmals eine Atem-Alkoholprobe mit einem anderen Testgerät durchgeführt oder es hätte eine Blutprobe vorgenommen werden kön-</w:t>
      </w:r>
    </w:p>
    <w:p>
      <w:r>
        <w:t>- 7 - nen. Die Rüge der Verzeigten betreffend das Testresultat erstaunt um so mehr, als sie auf die Frage, weshalb sie keine Blutprobe habe vornehmen lassen wollen, antwortete, sie habe keine Lust gehabt, die halbe Nacht im Spital zu verbringen. Schliesslich sei sie am nächsten Tag zu einer Geburtstagsfeier eingeladen gewe- sen (Urk. 2/12 S. 2; Urk. 11 S. 3). Die Verzeigte hätte also die Möglichkeit gehabt, die Alkoholkonzentration durch ein anderes Beweismittel ermitteln zu lassen. Hat sie den durch die Atemluftprobe ermittelten Wert unterschriftlich anerkannt, kann sie später nicht darauf zurück kommen und diesen Wert in Frage stellen. Dassel- be gilt für ihr erstmals vor Vorinstanz vorgebrachtes Vorbringen, sie habe das von ihr unterzeichnete Polizeiprotokoll betreffend Verdacht auf Alkohol-, Betäubungs- mittel- oder Arzneimittelkonsum (Urk. 2/5) nicht verstanden (Prot. I S. 6 f.). Dies hätte sie vor dessen Unterzeichnung kund tun müssen. Abgesehen davon, legte sie nicht dar, inwiefern sie das Protokoll nicht verstanden hatte. Klar war ihr jeden- falls, dass sie eine Blutprobe hätte verlangen können. Dies führte sie anlässlich der vom Statthalteramt des Bezirks Uster durchgeführten Einvernahme aus (Urk. 2/12 S. 2). Dem eindeutigen Ergebnis eines Atemlufttests den Beweiswert abzusprechen, widerspräche im übrigen auch dem Grundsatz der freien Beweis- würdigung (BGE 116 IV 75 E. 4.b). Aufgrund obiger Erwägungen, besteht kein Anlass, die Resultate der zwei bei der Verzeigten durchgeführten Atem-Alkoholproben in Zweifel zu ziehen. d) Die Verzeigte rügt weiter, die Kompetenzdelegation gemäss Art. 55 Abs. 7 lit. b SVG habe dem Bundesrat nicht die Möglichkeit eingeräumt, eine Re- gelung, wie sie in Art. 11 Abs. 5 lit. a SKV vorgesehen sei, zu erlassen, weshalb es dieser Regelung an einer genügenden gesetzlichen Grundlage fehle. Der Bun- desrat habe den Atemlufttest, sofern dessen Resultat von der betroffenen Person unterschriftlich anerkannt werde, einer nachgewiesenen Blutalkoholkonzentration von 0,5 Promille gleichgesetzt. Damit habe der Bundesrat unverrückbare Beweis- vorgaben geschaffen (Urk. 18 S. 2 ff. und Urk. 27 S. 2). Art. 55 Abs. 6 SVG ermächtigt die Bundesversammlung, in einer Verord- nung festzulegen, bei welcher Blutalkoholkonzentration Fahrunfähigkeit anzu- nehmen ist. Die Bundesversammlung hat legiferiert, Fahrunfähigkeit wegen Alko-</w:t>
      </w:r>
    </w:p>
    <w:p>
      <w:r>
        <w:t>- 8 - holeinwirkung gelte in jedem Fall als erwiesen, wenn der Fahrzeugführer eine Blutalkoholkonzentration von 0,5 oder mehr Gewichtspromille aufweise oder eine Alkoholmenge im Körper habe, die zu einer solchen Blutalkoholkonzentration füh- re. Als qualifiziert gelte eine Blutalkoholkonzentration von 0,8 Promille oder mehr (Art. 1 der Verordnung der Bundesversammlung über Blutalkoholgrenzwerte im Strassenverkehr). Gestützt auf Art. 55 Abs. 7 lit. b SVG hat der Bundesrat die Bestimmung von Art. 11 Abs. 5 lit. a SKV erlassen, welche festhält wie die Atem-Alkoholprobe durchzuführen ist. Dort wird bestimmt, die Fahrunfähigkeit gelte als festgestellt, wenn die betroffene Person ein Motorfahrzeug geführt hat, der tiefere Wert der beiden Messungen (gemäss Art. 11 Abs. 4 SKV) einer Blutalkoholkonzentration von 0,50 Promille und mehr, aber weniger als 0,80 entspricht und dieses Resultat von der betroffenen Person unterschriftlich anerkannt wird. Damit werden vom Bundesrat lediglich die in der Verordnung der Bundesversammlung über Blutal- koholgrenzwerte im Strassenverkehr festgehaltenen Grenzwerte wiederholt und das Vorgehen bei Feststellung der Fahrunfähigkeit geregelt. Dies stützt sich auf die Delegationsnorm. Beim Erfordernis, dass die betroffene Person den tieferen der gemessenen Werte unterschriftlich anerkennt, handelt es sich lediglich um ei- ne Formvorschrift zu Gunsten dieser Person. Lässt sich die Blutalkoholkonzentra- tion auch mittels einer anderen, die körperliche Integrität weniger tangierende Me- thode als der Blutentnahme sicher ermitteln, ist nicht ersichtlich, was dem entge- gen stehen soll. Wer dem Testresultat der Atem-Alkoholprobe kein Vertrauen schenken will, dem steht es überdies frei, eine Blutprobe durchführen zu lassen. Insofern ist nicht ersichtlich, inwiefern der Bundesrat die ihm in Art. 55 Abs. 7 lit. b SVG eingeräumte Kompetenz überschritten haben soll. e) Zusammenfassend lässt sich somit festhalten, dass die Rügen der Ver- zeigten allesamt unbegründet sind. Die Verzeigte ist folglich des Fahrens in fahr- unfähigem Zustand im Sinne von Art. 91 Abs. 1 SVG in Verbindung mit Art. 31 Abs. 2 SVG und Art. 2 Abs. 1 VRV schuldig zu sprechen.</w:t>
      </w:r>
    </w:p>
    <w:p>
      <w:r>
        <w:t>- 9 - III. Strafzumessung 1. Die Vorinstanz hat den Strafrahmen und die Grundsätze der Strafzumes- sung korrekt dargelegt, worauf verwiesen werden kann (Urk. 17 S. 10; Art. 82 Abs. 4 StPO). 2. Das Tatverschulden ist mit dem Vorderrichter als noch leicht einzustufen, entsprach doch der niedrigere der zwei bei der Verzeigten gemessenen Blutalko- holkonzentrationswerte dem unteren Grenzwert von 0,5 Gewichtspromille (vgl. Urk. 2/5 S. 3; Art. 1 der Verordnung der Bundesversammlung über Blutalko- holgrenzwerte im Strassenverkehr). Was die Berechnung der Bussenhöhe anbelangt, kann ebenfalls auf die vo- rinstanzlichen Erwägungen verwiesen werden (Urk. 17 S. 10; Art. 82 Abs. 4 StPO). Die finanziellen Verhältnisse der Verzeigten haben sich zwischenzeitlich nur marginal geändert (vgl. Urk. 25 und Urk. 26/1-4). 3. Unter Berücksichtigung aller Umstände erscheint die von der Vorinstanz ausgesprochene Busse von Fr. 400.– als dem Verschulden und den persönlichen Verhältnissen der Verzeigten angemessen, weshalb sie zu bestätigen ist. Der Umwandlungssatz für die Ersatzfreiheitsstrafe ist praxisgemäss auf Fr. 100.– festzulegen, womit die Verzeigte, falls sie die Busse schuldhaft nicht be- zahlt, 4 Tage Freiheitsstrafe zu verbüssen haben wird. IV.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