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SR250012 vom 28. Juli 2025</w:t>
      </w:r>
    </w:p>
    <w:p>
      <w:r>
        <w:t>ZH Obergericht, 2025-07-28, DE</w:t>
      </w:r>
    </w:p>
    <w:p>
      <w:r>
        <w:rPr>
          <w:b/>
        </w:rPr>
        <w:t xml:space="preserve">Quelle: </w:t>
      </w:r>
      <w:r>
        <w:t>https://mcp.opencaselaw.ch/entscheid/zh_obergericht_SR250012</w:t>
      </w:r>
    </w:p>
    <w:p>
      <w:r>
        <w:t>FR: ZH_OBERGERICHT SR250012 du 28 juillet 2025</w:t>
      </w:r>
    </w:p>
    <w:p>
      <w:r>
        <w:t>IT: ZH_OBERGERICHT SR250012 del 28 luglio 2025</w:t>
      </w:r>
    </w:p>
    <w:p>
      <w:pPr>
        <w:pStyle w:val="Heading2"/>
      </w:pPr>
      <w:r>
        <w:t>Erwägungen</w:t>
      </w:r>
    </w:p>
    <w:p>
      <w:r>
        <w:rPr>
          <w:b/>
        </w:rPr>
        <w:t>E. 23</w:t>
      </w:r>
    </w:p>
    <w:p>
      <w:r>
        <w:t>Juni 2020 E. 2.4; 6B_836/2016 vom 7. März 2017 E. 1.3.2). Die neuen Tatsa- chen müssen zudem erheblich sein. Dies ist der Fall, wenn sie geeignet sind, die tatsächlichen Feststellungen, auf denen die Verurteilung basiert, zu erschüttern und einen günstigeren Entscheid zugunsten der verurteilten Person ermöglichen (BGE 145 IV 197 E. 1.1; 137 IV 59 E. 5.1.4; 130 IV 72 E. 1; Urteile BGer 6B_1353/2020 vom 22. Dezember 2020 E. 2.3.1; 6B_833/2020 vom 27. Juli 2020 E. 1.1). Möglich ist eine Änderung des früheren Urteils aber nur dann, wenn sie sicher, höchstwahrscheinlich oder wahrscheinlich ist (BGE 120 IV 246 E. 2b; 116 IV 353 E. 5a; Urteile 6B_1353/2020 vom 22. Dezember 2020 E. 2.3.1; 6B_14/2020 vom 20. April 2020 E. 3.3.1). Das Rechtsmittel der Revision steht nicht zur Ver- fügung, um rechtskräftige Entscheide jederzeit infrage zu stellen oder frühere prozessuale Versäumnisse zu beheben (BGE 130 IV 72 E. 2.2).</w:t>
      </w:r>
    </w:p>
    <w:p>
      <w:r>
        <w:t>- 4 - 2.2. Gemäss dem Schreiben des Strassenverkehrsamtes des Kantons Zürich vom 29. April 2025 erstreckt sich der Führerausweisentzug nicht auf Motorfahrräder, weshalb der Gesuchsteller am 18. Februar 2025 ein Motorfahrrad lenken durfte (Urk. 1/2). Diese neuen Erkenntnisse sind grundsätzlich geeignet, die tatsächlichen Feststellungen, auf die sich die Verurteilung stützt, zu erschüttern. Im Zeitpunkt, als der Strafbefehl vom 21. März 2025 erlassen worden war, waren sie der Strafbe- hörde zudem noch nicht bekannt. Der Revisionsgrund gemäss Art. 410 Abs. 1 lit. a StPO liegt damit vor. 3. Das Revisionsgesuch ist demnach gutzuheissen, der Strafbefehl der Staats- anwaltschaft See/Oberland vom 21. März 2025 aufzuheben und das Verfahren an die Staatsanwaltschaft zurückzuweisen. 4.1. Der Entscheid über die Kosten des Strafbefehlsverfahrens liegt im Ermessen der Behörde, welche anschliessend über die Strafsache zu befinden hat (Art. 428 Abs. 5 StPO; JOSITSCH/SCHMID, Praxiskommentar, Art. 413 StPO N 8). Im vorlie- genden Verfahren ist bezüglich dieser Kosten folglich nichts zu regeln. 4.2. Die Gerichtsgebühr für das Revisionsverfahren fällt bei diesem Verfahrens- ausgang ausser Ansatz. Ausgangsgemäss sind die Kosten des Revisionsver- fahrens auf die Gerichtskasse zu nehmen (Art. 428 Abs. 4 StPO). 5. Dieser Zwischenbeschluss ist gemäss Art. 93 BGG nicht mit Strafrechts- beschwerde beim Bundesgericht anfechtbar (JOSITSCH/SCHMID, Praxiskommentar, Art. 413 StPO N 9).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