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SF180004 vom 5. September 2018</w:t>
      </w:r>
    </w:p>
    <w:p>
      <w:r>
        <w:t>ZH Obergericht, 2018-09-05, DE</w:t>
      </w:r>
    </w:p>
    <w:p>
      <w:r>
        <w:rPr>
          <w:b/>
        </w:rPr>
        <w:t xml:space="preserve">Quelle: </w:t>
      </w:r>
      <w:r>
        <w:t>https://mcp.opencaselaw.ch/entscheid/zh_obergericht_SF180004</w:t>
      </w:r>
    </w:p>
    <w:p>
      <w:r>
        <w:t>FR: ZH_OBERGERICHT SF180004 du 5 septembre 2018</w:t>
      </w:r>
    </w:p>
    <w:p>
      <w:r>
        <w:t>IT: ZH_OBERGERICHT SF180004 del 5 settembre 2018</w:t>
      </w:r>
    </w:p>
    <w:p>
      <w:pPr>
        <w:pStyle w:val="Heading2"/>
      </w:pPr>
      <w:r>
        <w:t>Erwägungen</w:t>
      </w:r>
    </w:p>
    <w:p>
      <w:r>
        <w:rPr>
          <w:b/>
        </w:rPr>
        <w:t>E. 1</w:t>
      </w:r>
    </w:p>
    <w:p>
      <w:r>
        <w:t>Der Gesuchsteller wurde am 19. März 2007 von der hiesigen Kammer we- gen mehrfachen versuchten Mordes und weiterer Straftaten zu 12 Jahren Frei- heitsstrafe (unter Anrechnung der ausgestandenen Untersuchungshaft und des vorzeitigen Strafvollzuges) sowie zu Fr. 500.– Busse verurteilt. Von einer Verwah- rung gemäss aArt. 43 Ziff. 1 Abs. 2 StGB wurde abgesehen. Die von der Staats- anwaltschaft dagegen erhobene Beschwerde in Strafsachen wurde mit Urteil des Bundesgerichtes vom 29. November 2007 abgewiesen. Am 13. Dezember 2017 ersuchte die Staatsanwaltschaft das Obergericht Zürich um nachträgliche Anordnung der Verwahrung des Gesuchstellers nach Art. 65 Abs. 2 StGB. Mit Beschluss vom 6. Juni 2018 hiess die II. Strafkammer des hiesi- gen Gerichtes das Gesuch der Staatsanwaltschaft um Eröffnung eines Revisions- verfahrens zur Prüfung der nachträglichen Verwahrung gut, hob das Strafurteil vom 19. März 2007 auf und wies die Sache zur neuen Behandlung und Beurtei- lung an das Bezirksgericht Hinwil. Gegen diesen Entscheid liess der Gesuch- steller einerseits Beschwerde in Strafsachen ans Bundesgericht erheben; ande- rerseits liess er – einige Tage später – mit Eingabe vom 10. Juli 2018 altrechtliche kantonale Nichtigkeitsbeschwerde beim Obergericht Zürich einreichen (Urk. 1), worauf das vorliegende Verfahren mit der Geschäftsnummer SF180004 angelegt wurde. Mit Urteil vom 14. August 2018 hiess das Bundesgericht die Beschwerde des Gesuchstellers gegen den Beschluss der II. Strafkammer vom 6. Juni 2018 gut, hob den Beschluss der II. Strafkammer auf und wies die Sache zu neuer Ent- scheidung zurück (Urk. 11 S. 12).</w:t>
      </w:r>
    </w:p>
    <w:p>
      <w:r>
        <w:rPr>
          <w:b/>
        </w:rPr>
        <w:t>E. 2</w:t>
      </w:r>
    </w:p>
    <w:p>
      <w:r>
        <w:t>Das Bundesgericht kam in seinen Erwägungen – unter anderem – zum Schluss, dass Art. 65 Abs. 2 StGB auch auf Täter anwendbar sei, die vor dem Inkrafttreten der Revision am 1. Januar 2007 eine Straftat begangen hätten oder verurteilt worden seien. Die nachträgliche Verwahrung sei bereits nach dem früheren Recht zulässig gewesen. Art. 65 Abs. 2 StGB bilde die bundesrechtliche Grundlage für die Anordnung der nachträglichen Verwahrung und verweise für die gerichtliche Zuständigkeit und das Verfahren nach dem Inkrafttreten der StPO am</w:t>
      </w:r>
    </w:p>
    <w:p>
      <w:r>
        <w:t>- 3 -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