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SF120007 vom 16. Oktober 2013</w:t>
      </w:r>
    </w:p>
    <w:p>
      <w:r>
        <w:t>ZH Obergericht, 2013-10-16, DE</w:t>
      </w:r>
    </w:p>
    <w:p>
      <w:r>
        <w:rPr>
          <w:b/>
        </w:rPr>
        <w:t xml:space="preserve">Quelle: </w:t>
      </w:r>
      <w:r>
        <w:t>https://mcp.opencaselaw.ch/entscheid/zh_obergericht_SF120007</w:t>
      </w:r>
    </w:p>
    <w:p>
      <w:r>
        <w:t>FR: ZH_OBERGERICHT SF120007 du 16 octobre 2013</w:t>
      </w:r>
    </w:p>
    <w:p>
      <w:r>
        <w:t>IT: ZH_OBERGERICHT SF120007 del 16 ottobre 2013</w:t>
      </w:r>
    </w:p>
    <w:p>
      <w:pPr>
        <w:pStyle w:val="Heading2"/>
      </w:pPr>
      <w:r>
        <w:t>Erwägungen</w:t>
      </w:r>
    </w:p>
    <w:p>
      <w:r>
        <w:rPr>
          <w:b/>
        </w:rPr>
        <w:t>E. 8</w:t>
      </w:r>
    </w:p>
    <w:p>
      <w:r>
        <w:t>Dezember 2012 datierende Eingabe ein, mit der er – nebst dem, dass er weite- re, in einem separaten Verfahren behandelte Anträge stellte – sinngemäss rügte, die am Erledigungsbeschluss beteiligte Gerichtsbesetzung sei befangen gewesen (Urk. 37). Mit Schreiben vom 17. Dezember 2012 übermittelte die III. Strafkammer das Ausstandsbegehren des Gesuchstellers zuständigkeitshalber an das Beru- fungsgericht (Urk. 1). Am 14./17. Dezember 2012 hatten die Mitglieder der fragli- chen Gerichtsbesetzung der III. Strafkammer die gewissenhafte Erklärung abge- geben, sich nicht befangen zu fühlen (Urk. 2/9). Mit Präsidialverfügung der II. Strafkammer des Obergerichts Zürich vom 5. August 2013 wurde dem Gesuchsteller Frist angesetzt, um sich zur Stellungnahme der Mitglieder der fraglichen Gerichtsbesetzung der III. Strafkammer vernehmen zu lassen (Urk. 6). Der Gesuchsteller holte die Verfügung nicht ab (Urk. 7), obwohl er mit einer Zustellung rechnen musste, hatte er vom vorliegenden Verfahren doch Kenntnis und wurde die Verfügung doch an die von ihm angegebene Zustella- dresse gesandt (Urk. 5/17). Die Verfügung gilt daher als zugestellt (Art. 85 Abs. 4 lit. a StPO). Innert Frist ging keine Stellungnahme des Gesuchstellers ein.</w:t>
      </w:r>
    </w:p>
    <w:p>
      <w:r>
        <w:t>- 3 - II. Wird ein Ausstandsgrund nach Art. 56 lit. a oder f StPO geltend gemacht oder wi- dersetzt sich eine in einer Strafbehörde tätige Person einem Ausstandsgesuch ei- ner Partei, das sich auf Art. 56 lit. b-e StPO abstützt, so entscheidet ohne weite- res Beweisverfahren und endgültig das Berufungsgericht, sofern die Beschwer- deinstanz – im Kanton Zürich die III. Strafkammer des Obergerichts – betroffen ist (Art. 59 Abs. 1 lit. c StPO). Praxisgemäss erfolgt die Beurteilung von Ausstands- begehren gegen Mitglieder der Beschwerdeinstanz jeweils durch Mitglieder der I. oder II. Strafkammer. Die Zuständigkeit der II. Strafkammer zur Behandlung des vorliegenden Ausstandsbegehrens ist deshalb gegeben. III. 1. Gemäss Art. 30 Abs. 1 BV und Art. 6 Ziff. 1 EMRK hat jedermann Anspruch auf einen unabhängigen und unparteiischen Richter. Es soll garantiert werden, dass keine sachfremden Umstände, welche ausserhalb des Prozesses liegen, in sach- widriger Weise zugunsten oder zulasten einer Partei auf das gerichtliche Urteil einwirken. Art. 4 StPO übernimmt diese Grundsätze, indem er bestimmt, dass die Strafbehörden in der Rechtsanwendung unabhängig und nur dem Recht verpflich- tet sind. Die Ausstandsvorschriften der Strafprozessordnung stehen in engem Zu- sammenhang mit dem Anspruch der Verfahrensbeteiligten auf Beurteilung durch einen unabhängigen und unparteiischen Richter, da innere oder äussere Bindun- gen der in einer Strafbehörde tätigen Person zu Verfahrensbeteiligten oder deren Standpunkten die Unabhängigkeit gefährden oder aufheben (Niklaus Schmid, Handbuch des schweizerischen Strafprozessrechts, Zürich/St. Gallen 2009, N 117 und 507). 2. In Art. 56 StPO wird daher die Pflicht jeder in einer Strafbehörde tätigen Person festgehalten, in einer Sache in den Ausstand zu treten, sollten Gründe vorliegen, aufgrund derer sie befangen sein könnte. Der Ausstand einer in einer Strafbehör- de tätigen Person kann unter anderem verlangt werden, wenn diese aus anderen</w:t>
      </w:r>
    </w:p>
    <w:p>
      <w:r>
        <w:t>- 4 - als den in Art. 56 lit. a bis e StPO genannten Gründen, insbesondere wegen Freundschaft oder Feindschaft mit einer Partei oder deren Rechtsbeistand, be- fangen sein könnte (Art. 58 Abs. 1 StPO i.V.m. Art. 56 lit. f StPO). Die Befangen- heit ist als innere Einstellung einem Beweis kaum zugänglich. Die Ablehnung ei- ner Person erfordert denn auch nicht den strikten Nachweis, dass diese tatsäch- lich befangen ist. Es genügt schon die abstrakte Gefahr der Voreingenommenheit. Mithin müssen Umstände vorhanden sein, die den Anschein der Befangenheit oder Zweifel an der Unvoreingenommenheit zu begründen vermögen. Blosse Vermutungen reichen dazu nicht aus. Gemäss bundesgerichtlicher Rechtspre- chung liegt Befangenheit einer Gerichtsperson vor, wenn Umstände vorliegen, die geeignet sind, Misstrauen in ihre Unparteilichkeit zu erwecken. Solche Umstände können entweder in einer bestimmten persönlichen Einstellung zum Verfahrens- gegenstand, einem persönlichen Verhalten der betreffenden Person oder in ge- wissen äusseren Gegebenheiten, wozu auch funktionelle oder verfahrensorgani- satorische Aspekte gehören, liegen. Wesentlich ist, ob das Verfahren in Bezug auf den konkreten Sachverhalt und die konkret zu entscheidenden Rechtsfragen als offen und nicht vorbestimmt erscheint. Ob der Anschein der Befangenheit vor- liegt, beurteilt sich ohne Rücksicht auf das subjektive Empfinden der Verfahrens- partei. Das Misstrauen in die Unvoreingenommenheit muss vielmehr in objektiver Weise und durch vernünftige Gründe gerechtfertigt erscheinen (BSK StPO-Boog, vor Art. 56-60 StPO N 6 ff.; BGE 6B_732/2012 vom 30. Mai 2013, E.1.3.2; BGE 136 I 207 E. 3.1 mit Hinweisen). 3. Ein Ausstandsbegehren ist ohne Verzug zu stellen, sobald der Gesuchsteller vom Ausstandsgrund Kenntnis erhalten hat. Die den Ausstand begründenden Tatsachen sind glaubhaft zu machen (Art. 58 Abs. 1 StPO). 4. Vorliegend beruft sich der Gesuchsteller auf keinen der unter Art. 56 lit. a bis f StPO aufgeführten Ausstandsgründe, sondern rügt, die Gerichtsbesetzung sei be- fangen gewesen, da sie die Meinung der Staatsanwaltschaft ungeprüft übernom- men und Fehler der Untersuchungsbehörden bewusst übersehen habe. So sei durch das Obergericht (gemeint: deren III. Strafkammer) ignoriert worden, dass die Staatsanwaltschaft Unmögliches von ihm verlangt habe und einen von ihm</w:t>
      </w:r>
    </w:p>
    <w:p>
      <w:r>
        <w:t>- 5 - vorgeschlagenen Zeugen nicht habe anhören wollen (Urk. 2/7 S. 1, S. 4 und S. 6 ff.). Zusammengefasst macht der Gesuchsteller somit geltend, der Erledigungsbe- schluss der III. Strafkammer des Obergerichts vom 26. November 2012 lasse sich nur durch eine bestehende Befangenheit erklären. Seine Begründung erschöpft sich aber darin, zum wiederholten Mal seine Ansicht, es müsse eine Strafuntersu- chung gegen drei Angestellte der Credit Suisse geführt und Anklage erhoben werden, vorzutragen, und die Weigerung des Staatsanwaltes, einen anonymen Zeugen einzuvernehmen sowie Urkunden edieren zu lassen, zu rügen. 5. Die Staatsanwaltschaft I des Kantons Zürich hatte ihre Nichtanhandnahmever- fügung vom 9. Februar 2012 damit begründet, dass den Ausführungen des Ge- suchstellers nicht entnommen werden könne, inwiefern die drei von ihm beschul- digten Bankangestellten gegen strafrechtliche Bestimmungen verstossen hätten. Die Sachverhaltsdarstellung des Gesuchstellers schildere vielmehr eine zivilrecht- liche Auseinandersetzung. Der Aufforderung, das angeblich deliktische Verhalten genauer, insbesondere auch in zeitlicher und örtlicher Hinsicht, zu umschreiben, sei der Gesuchsteller nicht nachgekommen (Urk. 5/5/1). 6. Dass die Beschwerdeinstanz zum gleichen Schluss kam (Urk. 2/1 S. 7 ff.), ist angesichts der überzeugenden Begründung der Staatsanwaltschaft nachvollzieh- bar und keinesfalls so abwegig, dass dies nur durch Voreingenommenheit oder Befangenheit erklärbar wäre. Wenn sich bereits aus den Behauptungen des Ge- suchstellers nicht ergibt, inwiefern ein Straftatbestand erfüllt sein könnte, wenn seine Sachverhaltsdarstellung nachgewiesen wäre, so erübrigt es sich, zur Sach- verhaltserstellung weitere Beweise zu erheben. Von Fehlern der Staatsanwalt- schaft, welche die Beschwerdeinstanz nur aus Befangenheit ignoriert haben könnte, kann daher keine Rede sein. Weitere Gründe für eine mögliche Befangenheit der zuständigen Gerichtsbeset- zung bringt der Gesuchsteller nicht vor, und solche lassen sich auch den Akten nicht entnehmen.</w:t>
      </w:r>
    </w:p>
    <w:p>
      <w:r>
        <w:t>- 6 - 7. Zusammenfassend ist somit festzuhalten, dass der Gesuchsteller nicht glaub- haft dargetan hat, dass die Gerichtsbesetzung im Verfahren UE120061 befangen war oder den Anschein von Befangenheit erweckt. Das Ablehnungsbegehren des Gesuchstellers gegen die Beschwerdegegnerin erweist sich damit als unbegrün- det und ist abzuweisen. IV. Ausgangsgemäss sind die Verfahrenskosten dem Gesuchsteller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