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SB240553 vom 10. Januar 2025</w:t>
      </w:r>
    </w:p>
    <w:p>
      <w:r>
        <w:t>ZH Obergericht, 2025-01-10, DE</w:t>
      </w:r>
    </w:p>
    <w:p>
      <w:r>
        <w:rPr>
          <w:b/>
        </w:rPr>
        <w:t xml:space="preserve">Quelle: </w:t>
      </w:r>
      <w:r>
        <w:t>https://mcp.opencaselaw.ch/entscheid/zh_obergericht_SB240553</w:t>
      </w:r>
    </w:p>
    <w:p>
      <w:r>
        <w:t>FR: ZH_OBERGERICHT SB240553 du 10 janvier 2025</w:t>
      </w:r>
    </w:p>
    <w:p>
      <w:r>
        <w:t>IT: ZH_OBERGERICHT SB240553 del 10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Beschuldigte liess mit Eingabe vom 7. November 2024 innert gesetzlicher Frist die Berufung gegen das Urteil des Bezirksgerichts Zürich, 10. Abteilung - Ein- zelgericht, vom 29. Oktober 2024 anmelden (Urk. 38). Das begründete Urteil der Vorinstanz wurde dem Verteidiger in der Folge am 12. Dezember 2024 zugestellt (Urk. 41/2). Die 20-tägige Frist zur Einreichung einer Berufungserklärung lief ent- sprechend bis zum 3. Januar 2025 (Art. 399 Abs. 3 StPO). Innert dieser Frist ging keine Eingabe des Beschuldigten ein, weshalb in Anwendung von Art. 403 Abs. 1 und Abs. 3 StPO auf die Berufung nicht einzutreten ist (Art. 388 Abs. 2 StPO).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das Rechtsmittel des Beschuldigten kommt einem Unterliegen gleich (Art. 428 Abs. 1 StPO). Dem Beschuldigten sind somit die Kosten für das Berufungsverfahren aufzuerlegen. Die Gerichtsgebühr ist praxisgemäss auf Fr. 500.– festzusetzen.</w:t>
      </w:r>
    </w:p>
    <w:p>
      <w:r>
        <w:rPr>
          <w:b/>
        </w:rPr>
        <w:t>E. 3</w:t>
      </w:r>
    </w:p>
    <w:p>
      <w:r>
        <w:t>Der Privatklägerin ist für das Berufungsverfahren keine Entschädigung zuzu- sprechen, da jenes noch ganz am Anfang steht und noch keine relevanten Aufwen- dungen entstanden sein können. Es wird verfügt: (Oberrichter lic. iur. B. Gut)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