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SB240536 vom 9. Juli 2025</w:t>
      </w:r>
    </w:p>
    <w:p>
      <w:r>
        <w:t>ZH Obergericht, 2025-07-09, DE</w:t>
      </w:r>
    </w:p>
    <w:p>
      <w:r>
        <w:rPr>
          <w:b/>
        </w:rPr>
        <w:t xml:space="preserve">Quelle: </w:t>
      </w:r>
      <w:r>
        <w:t>https://mcp.opencaselaw.ch/entscheid/zh_obergericht_SB240536</w:t>
      </w:r>
    </w:p>
    <w:p>
      <w:r>
        <w:t>FR: ZH_OBERGERICHT SB240536 du 9 juillet 2025</w:t>
      </w:r>
    </w:p>
    <w:p>
      <w:r>
        <w:t>IT: ZH_OBERGERICHT SB240536 del 9 luglio 2025</w:t>
      </w:r>
    </w:p>
    <w:p>
      <w:pPr>
        <w:pStyle w:val="Heading2"/>
      </w:pPr>
      <w:r>
        <w:t>Erwägungen</w:t>
      </w:r>
    </w:p>
    <w:p>
      <w:r>
        <w:rPr>
          <w:b/>
        </w:rPr>
        <w:t>E. 1</w:t>
      </w:r>
    </w:p>
    <w:p>
      <w:r>
        <w:t>Verfahrensgang</w:t>
      </w:r>
    </w:p>
    <w:p>
      <w:r>
        <w:rPr>
          <w:b/>
        </w:rPr>
        <w:t>E. 1.1</w:t>
      </w:r>
    </w:p>
    <w:p>
      <w:r>
        <w:t>Die vorinstanzliche Kosten- und Entschädigungsregelung (Dispositiv- ziffern 11 und 12) wurde – wie vorstehend dargelegt (vgl. E. I/2) – nicht angefochten und ist somit in Rechtskraft erwachsen. Es ist demnach nur über die Festsetzung und die Auflage der Kosten des Berufungsverfahrens zu befinden.</w:t>
      </w:r>
    </w:p>
    <w:p>
      <w:r>
        <w:rPr>
          <w:b/>
        </w:rPr>
        <w:t>E. 1.2</w:t>
      </w:r>
    </w:p>
    <w:p>
      <w:r>
        <w:t>Die Gerichtsgebühr für das Berufungsverfahren ist auf Fr. 3'000.– festzu- setzen (§ 16 Abs. 1 i.V.m. § 14 Abs. 1 GebV OG). Die Kosten des Rechtsmittelver- fahrens tragen die Parteien nach Massgabe ihres Obsiegens oder Unterliegens (Art. 428 Abs. 1 StPO). Der Beschuldigte obsiegt mit seinen Berufungsanträgen</w:t>
      </w:r>
    </w:p>
    <w:p>
      <w:r>
        <w:t>- 16 - vollumfänglich, weshalb die Kosten des Berufungsverfahrens vollumfänglich auf die Gerichtskasse zu nehmen sind.</w:t>
      </w:r>
    </w:p>
    <w:p>
      <w:r>
        <w:rPr>
          <w:b/>
        </w:rPr>
        <w:t>E. 1.3</w:t>
      </w:r>
    </w:p>
    <w:p>
      <w:r>
        <w:t>Der amtliche Verteidiger des Beschuldigten machte für das Berufungs- verfahren einen Aufwand von Fr. 4'683.80 geltend (Urk. 64), welcher Aufwand ausgewiesen ist und angemessen erscheint, weshalb er für seine Bemühungen und Auslagen mit Fr. 4'683.80 (inkl. MwSt. und Barauslagen) zu entschädigen ist. Ausgangsgemäss sind auch die Kosten der amtlichen Verteidigung des Berufungs- verfahrens auf die Gerichtskasse zu nehmen. Es wird beschlossen: 1. Es wird festgestellt, dass das Urteil des Bezirksgerichts Winterthur vom 25. Juni 2024 wie folgt in Rechtskraft erwachsen ist: "Es wird erkannt: 1. Der Beschuldigte A._____ ist schuldig  der mehrfachen Pornografie im Sinne von Art. 197 Abs. 1 sowie Abs. 4 Satz 2 und Abs. 5 Satz 1 und 2 StGB;  […]  des mehrfachen Missachtens eines Kontaktverbotes im Sinne von Art. 294 Abs. 2 StGB. 2. Auf den Antrag der Staatsanwaltschaft I des Kantons Zürichs, wonach der mit Strafbefehl der Staatsanwaltschaft Winterthur/Unterland vom 26. Mai 2015 gewährte bedingte Vollzug der ausgefällten Geldstrafe von 20 Tagessätzen zu Fr. 30.– zu widerrufen sei, wird nicht eingetreten (Art. 46 Abs. 5 StGB). 3. […]</w:t>
      </w:r>
    </w:p>
    <w:p>
      <w:r>
        <w:rPr>
          <w:b/>
        </w:rPr>
        <w:t>E. 1.4</w:t>
      </w:r>
    </w:p>
    <w:p>
      <w:r>
        <w:t>Gemäss Art. 51 StGB rechnet das Gericht die vom Täter während diesem oder einem anderen Verfahren ausgestandene Untersuchungshaft auf die Strafe an (analog auch der Freiheitsentzug im Zusammenhang mit der stationären Begut- achtung nach Art. 186 StPO sowie der vorzeitige Massnahmenvollzug nach Art. 236 StPO; vgl. zutreffend die Vorinstanz in Urk. 43 E. IV/2.7.1 S. 25 m.H.). Der Beschuldigte befand sich vom 18. September 2023 bis 27. Oktober 2023 – somit 40 Tage – in der PUK Rheinau zur stationären Begutachtung (Urk. 20/54 und Urk. 20/75-76). Am 3. Januar 2024 trat der Beschuldigte dort den vorzeitigen Massnahmenvollzug an (554 Tage bis und mit heute; Urk. 20/84, Urk. 20/107-108 und Urk. 20/113; vgl. zum Ganzen auch Urk. 43 E. I/1-7 S. 5-10 und E. IV/2.7 S. 25 f.). Dementsprechend sind dem Beschuldigten 594 Tage als durch die stationäre Begutachtung und den vorzeitigen Massnahmenantritt erstanden an die Strafe (540 Tage) bzw. die stationäre Massnahme (54 Tage) anzurechnen.</w:t>
      </w:r>
    </w:p>
    <w:p>
      <w:r>
        <w:rPr>
          <w:b/>
        </w:rPr>
        <w:t>E. 1.5</w:t>
      </w:r>
    </w:p>
    <w:p>
      <w:r>
        <w:t>Der Beschuldigte ist somit mit einer unbedingten Freiheitsstrafe von 18 Monaten zu bestrafen. Die Freiheitsstrafe (540 Tage) gilt als durch die statio- näre Begutachtung und den vorzeitigen Massnahmenvollzug (594 Tage) vollum- fänglich erstanden. Die Differenz davon (54 Tage) ist an die stationäre Massnahme anzurechnen. Die Anrechnung an die stationäre Massnahme ist jedoch angesichts des präventiven Charakters der Massnahme nicht rechnerisch im Sinne einer Ver- kürzung der Massnahme um die Dauer des anzurechnenden Freiheitsentzugs zu verstehen (BGE 145 IV 65 E. 2.3.4 S. 72; 141 IV 236 E. 3.8 S. 242). IV. Kosten- und Entschädigungsfolgen</w:t>
      </w:r>
    </w:p>
    <w:p>
      <w:r>
        <w:rPr>
          <w:b/>
        </w:rPr>
        <w:t>E. 1.6</w:t>
      </w:r>
    </w:p>
    <w:p>
      <w:r>
        <w:t>Mit Präsidialverfügung vom 26. Februar 2025 wurde der Privatklägerschaft sowie der Staatsanwaltschaft ein Doppel der Berufungsbegründung des Beschul- digten zugestellt und Frist angesetzt, um die Berufungsantwort einzureichen sowie letztmals eigene Beweisanträge zu stellen; der Vorinstanz wurde Gelegenheit zur freigestellten Vernehmlassung eingeräumt (Urk. 61). Mit Eingabe vom 27. Februar 2025 verzichtete die Vorinstanz explizit auf Vernehmlassung (Urk. 63); die Staats- anwaltschaft und die Privatklägerschaft liessen sich dazu nicht vernehmen. Das Verfahren ist spruchreif. 2. Umfang der Berufung 2.1. Gemäss Art. 402 StPO hat die Berufung im Umfang der Anfechtung aufschiebende Wirkung. Die Rechtskraft des angefochtenen Urteils wird somit im Umfang der Berufungsanträge gehemmt, während die von der Berufung nicht erfassten Punkte in Rechtskraft erwachsen (vgl. BSK StPO-EUGSTER, Art. 402 N 1 f.). 2.2. Der Beschuldigte liess die Berufung in seiner Berufungserklärung/-begrün- dung auf den Schuldspruch wegen Hausfriedensbruchs im Sinne von Art. 186 StGB sowie die Sanktion beschränken (Urk. 45 S. 2 f.; Urk. 59 S. 2), was damit Berufungsgegenstand bildet (Dispositivziffer 1, Spiegelstrich 2; Dispositivziffer 3). 2.3. Sämtliche anderen Dispositivziffern des vorinstanzlichen Urteils blieben unangefochten (Dispositivziffer 1, Spiegelstrich 1 und 3, Dispositivziffer 2 sowie Dispositivziffern 4-12). Der Eintritt der Rechtskraft dieser Anordnungen ist vorab</w:t>
      </w:r>
    </w:p>
    <w:p>
      <w:r>
        <w:t>- 7 - festzustellen (Art. 399 Abs. 3 StPO in Verbindung mit Art. 402 und 437 StPO sowie Art. 404 StPO). 2.4. In den übrigen Punkten steht der angefochtene Entscheid unter Vorbehalt des Verschlechterungsverbotes (Art. 391 Abs. 2 StPO) zur Disposition. In den angefochtenen Punkten überprüft das Berufungsgericht das erstinstanzliche Urteil umfassend (Art. 398 Abs. 2 und 3 StPO).</w:t>
      </w:r>
    </w:p>
    <w:p>
      <w:r>
        <w:rPr>
          <w:b/>
        </w:rPr>
        <w:t>E. 3</w:t>
      </w:r>
    </w:p>
    <w:p>
      <w:r>
        <w:t>Strafantrag</w:t>
      </w:r>
    </w:p>
    <w:p>
      <w:r>
        <w:rPr>
          <w:b/>
        </w:rPr>
        <w:t>E. 3.1</w:t>
      </w:r>
    </w:p>
    <w:p>
      <w:r>
        <w:t>Wer gegen den Willen des Berechtigten in ein Haus, in eine Wohnung, in einen abgeschlossenen Raum eines Hauses oder in einen unmittelbar zu einem Haus gehörenden umfriedeten Platz, Hof oder Garten oder einen Werkplatz unrechtmässig eindringt oder, trotz der Aufforderung eines Berechtigten, sich zu</w:t>
      </w:r>
    </w:p>
    <w:p>
      <w:r>
        <w:t>- 13 - entfernen, darin verweilt, macht sich auf Antrag des Hausfriedenbruches strafbar (Art. 186 StGB). Nach herrschender Lehre kann das vom Tatbestand geschützte Objekt nebst dem Haus auch ein zum Umfeld eines Hauses gehörender, durch Zäune oder Hecken umfriedeter Platz oder Hof sein. Massgebend ist dabei die Erkennbarkeit der Abgrenzung, nicht deren Lückenlosigkeit. Nach dem Gesetzeswortlaut ist ein enger Konnex zu einem Haus vorausgesetzt, sodass beispielsweise eine vom Haus entfernte, eingezäunte Wiese nicht geschützt ist. Offene Plätze sind auch dann nicht geschützt, wenn sie zu einem Haus gehören (BSK StGB-DELNON/RÜDY, Art. 186 N 16 m.H.; BGE 141 IV 132 E. 3.2.4). In subjektiver Hinsicht ist Vorsatz bzw. Eventualvorsatz erforderlich. Die Täter- schaft muss den Willen haben, das Hausrecht ihres Opfers zu verletzen, und sie muss sich bewusst sein, dass ihr Verhalten diese Wirkung hervorruft und dies zumindest in Kauf nehmen. Sie muss zudem um die Unrechtmässigkeit ihres Ein- dringens bzw. Verbleibens wissen und dies auch wollen oder zumindest in Kauf nehmen (BSK StGB-DELNON/RÜDY, Art. 186 N 39).</w:t>
      </w:r>
    </w:p>
    <w:p>
      <w:r>
        <w:rPr>
          <w:b/>
        </w:rPr>
        <w:t>E. 3.2</w:t>
      </w:r>
    </w:p>
    <w:p>
      <w:r>
        <w:t>Dem Beschuldigten wurde – wie gesehen – am 24. Januar 2023 ein unbefristetes Hausverbot für das gesamte Areal (Einkaufszentrum E._____ und M._____, F._____-strasse 1 und 3, K._____-strasse 1, 3 und 5, M._____-strasse 8 und 10 in G.______ [Parzellen 1 und 2]) inkl. deren Parkhäuser und Umgebung erteilt; dieses wurde ihm gleichentags ausgehändigt (D3/1/3).</w:t>
      </w:r>
    </w:p>
    <w:p>
      <w:r>
        <w:rPr>
          <w:b/>
        </w:rPr>
        <w:t>E. 3.3</w:t>
      </w:r>
    </w:p>
    <w:p>
      <w:r>
        <w:t>Der Beschuldigte betrat den Vorplatz des Einkaufszentrums E._____, unmittelbar im Ein-/Ausgangsbereich, welcher zwar auf drei Seiten von zum Gebäudekomplex gehörenden – und vom Hausverbot mitumfassten – Gebäuden flankiert wird. Gegen vorne (in Richtung J._____-strasse/I._____-platz ) ist der Vor- platz aber offen, eine räumliche Trennung bzw. Abgrenzung im Sinne einer Umfriedung ist dort nicht erkennbar (vgl. Google Maps bzw. Google Street View; Urk. 60/6 [Beilage 6.6-7, 6.10, 6.12-16]; vgl. auch Urk. 46/3 [Beilage 3B, 3C, 3D, 3E], Urk. 60/8-9).</w:t>
      </w:r>
    </w:p>
    <w:p>
      <w:r>
        <w:t>- 14 -</w:t>
      </w:r>
    </w:p>
    <w:p>
      <w:r>
        <w:rPr>
          <w:b/>
        </w:rPr>
        <w:t>E. 3.4</w:t>
      </w:r>
    </w:p>
    <w:p>
      <w:r>
        <w:t>Da der Beschuldigte somit – wie von der Verteidigung zutreffend ausge- führt – in keinen umfriedeten Platz eingedrungen oder darauf verweilt ist, hat er sich nicht tatbestandsmässig verhalten. Der Beschuldigte ist somit vom Vorwurf des Hausfriedensbruchs im Sinne von Art. 186 StGB freizusprechen. III. Sanktion</w:t>
      </w:r>
    </w:p>
    <w:p>
      <w:r>
        <w:rPr>
          <w:b/>
        </w:rPr>
        <w:t>E. 4</w:t>
      </w:r>
    </w:p>
    <w:p>
      <w:r>
        <w:t>Es wird eine stationäre therapeutische Massnahme im Sinne von Art. 59 StGB (Be- handlung von psychischen Störungen) angeordnet. Es wird vorgemerkt, dass sich der Beschuldigte bereits im vorzeitigen Massnahmenvollzug befindet. Der Vollzug der vorliegenden Freiheitsstrafe wird zu diesem Zwecke aufgeschoben.</w:t>
      </w:r>
    </w:p>
    <w:p>
      <w:r>
        <w:t>- 17 - Die Freiheitsstrafe gemäss Urteil vom 6. November 2019 des Bezirksgerichts Winterthur gilt weiterhin als aufgeschoben.</w:t>
      </w:r>
    </w:p>
    <w:p>
      <w:r>
        <w:rPr>
          <w:b/>
        </w:rPr>
        <w:t>E. 4.1</w:t>
      </w:r>
    </w:p>
    <w:p>
      <w:r>
        <w:t>Soweit für die tatsächliche und die rechtliche Würdigung des eingeklagten Sachverhaltes auf die Erwägungen der Vorinstanz verwiesen wird, erfolgt dies in Anwendung von Art. 82 Abs. 4 StPO, ohne dass dies explizit Erwähnung findet.</w:t>
      </w:r>
    </w:p>
    <w:p>
      <w:r>
        <w:rPr>
          <w:b/>
        </w:rPr>
        <w:t>E. 4.2</w:t>
      </w:r>
    </w:p>
    <w:p>
      <w:r>
        <w:t>Aus dem Anspruch auf rechtliches Gehör (Art. 29 Abs. 2 BV, Art. 3 Abs. 2 lit. c StPO) folgt die Pflicht des Gerichts,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Ebenso wenig lässt sich Art. 6 Ziff. 1 EMRK in der Weise auslegen, dass eine detaillierte Antwort auf jedes Argument</w:t>
      </w:r>
    </w:p>
    <w:p>
      <w:r>
        <w:t>- 8 - gefordert würde (BGE 146 IV 297 E. 2.2.7; 143 III 65 E. 5.2; 141 IV 249 E. 1.3.1; Urteil des Bundesgerichts 6B_689/2019 vom 25. Oktober 2019 E. 1.5.2, mit Hinweisen). II. Sachverhalt und rechtliche Würdigung 1. Ausgangslage</w:t>
      </w:r>
    </w:p>
    <w:p>
      <w:r>
        <w:rPr>
          <w:b/>
        </w:rPr>
        <w:t>E. 5</w:t>
      </w:r>
    </w:p>
    <w:p>
      <w:r>
        <w:t>Dem Beschuldigten wird im Sinne von Art. 67 Abs. 3 lit. d StGB lebenslänglich jede berufliche und jede organisierte ausserberufliche Tätigkeit, die einen regelmässigen Kontakt zu Minderjährigen umfasst, verboten.</w:t>
      </w:r>
    </w:p>
    <w:p>
      <w:r>
        <w:rPr>
          <w:b/>
        </w:rPr>
        <w:t>E. 6</w:t>
      </w:r>
    </w:p>
    <w:p>
      <w:r>
        <w:t>Gegen den Beschuldigten wird für die Dauer von 5 Jahren ein Kontaktverbot im Sinne von Art. 67b Abs. 1 und Abs. 2 lit. a StGB angeordnet, welches ihm verbietet auf elek- tronischem Weg, insbesondere in Chats oder sozialen Netzwerken, mit Kindern und Minderjährigen unter 16 Jahren Kontakt aufzunehmen oder zu pflegen.</w:t>
      </w:r>
    </w:p>
    <w:p>
      <w:r>
        <w:rPr>
          <w:b/>
        </w:rPr>
        <w:t>E. 7</w:t>
      </w:r>
    </w:p>
    <w:p>
      <w:r>
        <w:t>Von der Anordnung einer Landesverweisung wird abgesehen.</w:t>
      </w:r>
    </w:p>
    <w:p>
      <w:r>
        <w:rPr>
          <w:b/>
        </w:rPr>
        <w:t>E. 8</w:t>
      </w:r>
    </w:p>
    <w:p>
      <w:r>
        <w:t>Die folgenden mit Verfügung der Staatsanwaltschaft I des Kantons Zürich vom 19. März 2024 beschlagnahmten Gegenstände werden, soweit dem Beschuldigten noch nicht ausgehändigt, eingezogen und der Lagerbehörde nach Rechtskraft dieses Urteils zur gutscheinenden Verwendung respektive Vernichtung überlassen:  Mobiltelefon Marke OPPO Typ Find X3, inkl. Hülle und Ladegerät, Asservat Nr. A015'216'861;  Software UFED4PC, Asservat Nr. A015'251'384;  SIM-Karte, Asservat Nr. A015'251'395;  Software UFED4PC, Asservat Nr. A015'251'408;  Notebook Marke Hewlett-Packard, inkl. Ladegerät, Asservat Nr. A015'216'894;  Datenträger Festplatte Hitachi, Asservat Nr. A015'251'351;  Software auto-imager, Asservat Nr. A015'251'362;  Optischer Datenträger, Asservat Nr. A015'251'373;  Mobiltelefon Konrow, schwarz, inkl. SIM-Karte und Ladekabel, Asservat Nr. A018'438'603.</w:t>
      </w:r>
    </w:p>
    <w:p>
      <w:r>
        <w:rPr>
          <w:b/>
        </w:rPr>
        <w:t>E. 9</w:t>
      </w:r>
    </w:p>
    <w:p>
      <w:r>
        <w:t>Sämtliche unter der Polis-Geschäftsnummer 80690308 sichergestellten Spuren, Spurenträger, Aufnahmen sowie Datenauslesungen und Datensicherungen sind mit Rechtskraft dieses Urteils zu vernichten.</w:t>
      </w:r>
    </w:p>
    <w:p>
      <w:r>
        <w:rPr>
          <w:b/>
        </w:rPr>
        <w:t>E. 10</w:t>
      </w:r>
    </w:p>
    <w:p>
      <w:r>
        <w:t>Der Privatkläger 3 (B._____) wird mit seinem Schadenersatz- und Genugtuungsbe- gehren auf den Weg des Zivilprozesses verwiesen.</w:t>
      </w:r>
    </w:p>
    <w:p>
      <w:r>
        <w:t>- 18 -</w:t>
      </w:r>
    </w:p>
    <w:p>
      <w:r>
        <w:rPr>
          <w:b/>
        </w:rPr>
        <w:t>E. 11</w:t>
      </w:r>
    </w:p>
    <w:p>
      <w:r>
        <w:t>Die Gerichtsgebühr wird festgesetzt auf: Fr. 5'400.00 ; die weiteren Kosten betragen: Fr. 3'000.00 Gebühr Vorverfahren; Fr. 56'966.00 Auslagen (stationäre Begutachtung und Gutachten); Fr. 25'584.00 amtliche Verteidigung (inkl. Barauslagen und MwSt.); Fr. 90'950.00 Total</w:t>
      </w:r>
    </w:p>
    <w:p>
      <w:r>
        <w:rPr>
          <w:b/>
        </w:rPr>
        <w:t>E. 12</w:t>
      </w:r>
    </w:p>
    <w:p>
      <w:r>
        <w:t>Die Kosten gemäss Dispositiv-Ziffer 11 werden dem Beschuldigten auferlegt. Die Kosten der amtlichen Verteidigung werden indessen einstweilen auf die Gerichts- kasse genommen; vorbehalten bleibt eine Nachforderung gemäss Art. 135 Abs. 4 StPO.</w:t>
      </w:r>
    </w:p>
    <w:p>
      <w:r>
        <w:rPr>
          <w:b/>
        </w:rPr>
        <w:t>E. 13</w:t>
      </w:r>
    </w:p>
    <w:p>
      <w:r>
        <w:t>[Mitteilungen]</w:t>
      </w:r>
    </w:p>
    <w:p>
      <w:r>
        <w:rPr>
          <w:b/>
        </w:rPr>
        <w:t>E. 14</w:t>
      </w:r>
    </w:p>
    <w:p>
      <w:r>
        <w:t>[Rechtsmittel]" 2. Schriftliche Mitteilung mit nachfolgendem Urteil und an die Privatkläger 1, 3 und 4 mit separatem Auszug.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