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SB240412 vom 27. März 2025</w:t>
      </w:r>
    </w:p>
    <w:p>
      <w:r>
        <w:t>ZH Obergericht, 2025-03-27, DE</w:t>
      </w:r>
    </w:p>
    <w:p>
      <w:r>
        <w:rPr>
          <w:b/>
        </w:rPr>
        <w:t xml:space="preserve">Quelle: </w:t>
      </w:r>
      <w:r>
        <w:t>https://mcp.opencaselaw.ch/entscheid/zh_obergericht_SB240412</w:t>
      </w:r>
    </w:p>
    <w:p>
      <w:r>
        <w:t>FR: ZH_OBERGERICHT SB240412 du 27 mars 2025</w:t>
      </w:r>
    </w:p>
    <w:p>
      <w:r>
        <w:t>IT: ZH_OBERGERICHT SB240412 del 27 marzo 2025</w:t>
      </w:r>
    </w:p>
    <w:p>
      <w:pPr>
        <w:pStyle w:val="Heading2"/>
      </w:pPr>
      <w:r>
        <w:t>Erwägungen</w:t>
      </w:r>
    </w:p>
    <w:p>
      <w:r>
        <w:rPr>
          <w:b/>
        </w:rPr>
        <w:t>E. 1</w:t>
      </w:r>
    </w:p>
    <w:p>
      <w:r>
        <w:t>Zum Verfahrensgang bis zum Erlass des erstinstanzlichen Urteils kann auf die zutreffenden Ausführungen der Vorinstanz im angefochtenen Entscheid verwiesen werden (Urk. 43 S. 3).</w:t>
      </w:r>
    </w:p>
    <w:p>
      <w:r>
        <w:rPr>
          <w:b/>
        </w:rPr>
        <w:t>E. 1.1</w:t>
      </w:r>
    </w:p>
    <w:p>
      <w:r>
        <w:t>Bei der Strafzumessung ist zunächst der abstrakte Strafrahmen zu bestimmen. Vorliegend ist demnach grundsätzlich vom Strafrahmen der Veruntreuung gemäss Art. 138 Ziff. 1 StGB, mithin von einer Freiheitsstrafe bis zu fünf Jahren oder Gelds- trafe auszugehen.</w:t>
      </w:r>
    </w:p>
    <w:p>
      <w:r>
        <w:rPr>
          <w:b/>
        </w:rPr>
        <w:t>E. 1.2</w:t>
      </w:r>
    </w:p>
    <w:p>
      <w:r>
        <w:t>Der ordentliche Strafrahmen kann unter Berücksichtigung von Strafschärfungs- und Strafmilderungsgründen nach oben bzw. nach unten erweitert werden, sofern aussergewöhnliche Umstände vorliegen und die angeordnete Strafe im konkreten Fall zu hart resp. zu milde erscheint. Vorliegend ist dies aber nicht der Fall.</w:t>
      </w:r>
    </w:p>
    <w:p>
      <w:r>
        <w:rPr>
          <w:b/>
        </w:rPr>
        <w:t>E. 1.3</w:t>
      </w:r>
    </w:p>
    <w:p>
      <w:r>
        <w:t>Innerhalb des theoretischen Strafrahmens bemisst das Gericht die Strafe nach dem Verschulden der Täterschaft (Tatkomponente). Es berücksichtigt das Vorle- ben und die persönlichen Verhältnisse sowie die Wirkung der Strafe auf das Leben des Täters (Täterkomponente; Art. 47 Abs. 1 StGB).</w:t>
      </w:r>
    </w:p>
    <w:p>
      <w:r>
        <w:t>- 18 -</w:t>
      </w:r>
    </w:p>
    <w:p>
      <w:r>
        <w:rPr>
          <w:b/>
        </w:rPr>
        <w:t>E. 1.4</w:t>
      </w:r>
    </w:p>
    <w:p>
      <w:r>
        <w:t>Das Verschulden wird nach der Schwere der Verletzung oder Gefährdung des betroffenen Rechtsguts, nach der Verwerflichkeit des Handelns, den Beweggrün- den und Zielen des Täters sowie danach bestimmt, wie weit der Täter nach den inneren und äusseren Umständen in der Lage war, die Gefährdung oder Verletzung zu vermeiden (Art. 47 Abs. 2 StGB). Betreffend die Tatkomponente sind in objekti- ver Hinsicht (objektive Tatschwere) somit das Ausmass des verschuldeten Erfolgs (Gefährdung des geschützten Rechtsguts, Deliktsbetrag, Sachschaden, körper- liche und psychische Schäden beim Opfer etc.) zu berücksichtigen. In subjektiver Hinsicht (subjektive Tatschwere) sind die Art und Weise der Herbeiführung dieses Erfolgs (Mittel, kriminelle Energie, Provokation), die Willensrichtung, mit der der Täter gehandelt hat und die Beweggründe des Beschuldigten zu beachten. Sodann sind für das Verschulden auch das „Mass an Entscheidungsfreiheit“ beim Täter sowie die sogenannte Intensität des deliktischen Willens bedeutsam (OFK StGB- Heimgartner, Art. 47 N 7 ff.). Je leichter es für den Täter gewesen wäre, die Norm zu respektieren, desto schwerer wiegt die Entscheidung gegen sie (Bundes- gerichtsurteil 6S.270/2006 vom 5. September 2006, E. 6.2.1).</w:t>
      </w:r>
    </w:p>
    <w:p>
      <w:r>
        <w:rPr>
          <w:b/>
        </w:rPr>
        <w:t>E. 1.5</w:t>
      </w:r>
    </w:p>
    <w:p>
      <w:r>
        <w:t>Die im Rahmen des Verschuldens ermittelte Strafe kann aufgrund wesentlicher Täterkomponenten verändert werden. Dabei sind das Vorleben und die persön- lichen Verhältnisse des Täters sowie dessen Verhalten nach der Tat und im Straf- verfahren zu berücksichtigen. Bei der Beurteilung des Vorlebens fallen einerseits früheres Wohlverhalten, anderseits Zahl, Schwere und Zeitpunkt von Vorstrafen ins Gewicht. Unter dem Gesichtspunkt der persönlichen Verhältnisse ist unter anderem zu berücksichtigen, ob der Täter Reue und Einsicht zeigt und ob er mehr oder weniger strafempfindlich ist (OFK StGB-Heimgartner, Art. 47 N 14 ff.). 2.Tatkomponente</w:t>
      </w:r>
    </w:p>
    <w:p>
      <w:r>
        <w:rPr>
          <w:b/>
        </w:rPr>
        <w:t>E. 2</w:t>
      </w:r>
    </w:p>
    <w:p>
      <w:r>
        <w:t>Die Vorinstanz fällte am 23. Mai 2024 das eingangs im Dispositiv wieder- gegebene Urteil, welches gleichentags mündlich eröffnet wurde (Prot. I S. 29). Der Privatkläger meldete innert Frist Berufung an (Urk. 39). Nach Zustellung des be- gründeten Urteils liess der Privatkläger durch Rechtsanwalt lic. iur. X._____ am 11. September 2024 fristgerecht die Berufungserklärung einreichen (Urk. 42/3 und 45). Letzterer reichte gleichzeitig eine Vollmacht ins Recht, mit welcher er sich – nach- dem er das Mandat vor der erstinstanzlichen Hauptverhandlung niedergelegt hatte (Urk. 31) – neu mandatieren liess (Urk. 46/1). Mit Präsidialverfügung vom 17. Sep- tember 2024 wurde dem Privatkläger Frist angesetzt, um eine Prozesskaution von einstweilen Fr. 7'000.– zu leisten (Urk. 48), welcher Foderung dieser am 20. September 2024 fristegerecht nachkam (Urk. 50). Mit Präsidialverfügung vom 26. September 2024 wurde dem Beschuldigten und der Staatsanwaltschaft die Berufungserklärung des Privatklägers zugestellt und Frist angesetzt, um zu erklären, ob Anschlussberufung erhoben oder ob begründet ein Nichteintreten auf die Berufung beantragt wird (Urk. 51). In ihrer Eingabe vom 1. Oktober 2024 ver- zichtete die Staatsanwaltschaft auf Anschlussberufung und aktive Beteiligung am</w:t>
      </w:r>
    </w:p>
    <w:p>
      <w:r>
        <w:t>- 4 - weiteren Verfahren (Urk. 43). Der Beschuldigte liess sich nicht vernehmen. Am 23. Januar 2025 wurde auf den 27. März 2025 zur Berufungsverhandlung vorgeladen (Urk. 58).</w:t>
      </w:r>
    </w:p>
    <w:p>
      <w:r>
        <w:rPr>
          <w:b/>
        </w:rPr>
        <w:t>E. 2.1</w:t>
      </w:r>
    </w:p>
    <w:p>
      <w:r>
        <w:t>Die Kosten des Rechtsmittelverfahrens tragen die Parteien nach Massgabe ihres Obsiegens oder Unterliegens (Art. 428 Abs. 1 StPO).</w:t>
      </w:r>
    </w:p>
    <w:p>
      <w:r>
        <w:rPr>
          <w:b/>
        </w:rPr>
        <w:t>E. 2.2</w:t>
      </w:r>
    </w:p>
    <w:p>
      <w:r>
        <w:t>Aufgrund des Ausgangs des Verfahrens rechtfertigt es sich auch im Berufungs- verfahren, dem Beschuldigten die Kosten dieses Verfahrens aufzuerlegen. Die Entscheidgebühr für das Berufungsverfahren ist auf Fr. 3'600.– zu veranschlagen (Art. 424 Abs. 1 StPO in Verbindung mit § 16 Abs. 1 GebV OG und § 14 Abs. 1 lit. b GebV OG). 3. Prozessentschädigung</w:t>
      </w:r>
    </w:p>
    <w:p>
      <w:r>
        <w:rPr>
          <w:b/>
        </w:rPr>
        <w:t>E. 2.3</w:t>
      </w:r>
    </w:p>
    <w:p>
      <w:r>
        <w:t>Insgesamt ist innerhalb des Spektrums des Möglichen noch von einem leichten Tatverschulden auszugehen. Eine Einsatzstrafe von 4 Monaten Freiheitsstrafe resp. 120 Tagessätzen Geldstrafe erscheint hierfür als angemessen. 3. Täterkomponente</w:t>
      </w:r>
    </w:p>
    <w:p>
      <w:r>
        <w:rPr>
          <w:b/>
        </w:rPr>
        <w:t>E. 3</w:t>
      </w:r>
    </w:p>
    <w:p>
      <w:r>
        <w:t>Die Vorinstanz hat die Grundlagen der Beweiswürdigung zutreffend aufgeführt, weshalb zur Vermeidung von Wiederholungen darauf zu verweisen ist (Urk. 43 S. 5 f.). Als Beweismittel liegen die Aussagen des Privatklägers (Urk. 3/1-2; Prot. I S. 13 f.) sowie jene des Beschuldigten (Urk. 4/1, Urk. 4/3, Urk. 4/5; Prot. I S. 13 ff.) im Recht, sodann ein Brief des Privatklägers an den Beschuldigten (Urk. 4/2), Kopien aus dem Tagebuch des Privatklägers (Urk. 2/2), die Beizugsakten des Friedensrichteramts D._____ (Urk. 10/1-15) sowie der Betreibungsregisterauszug des Beschuldigten (Urk. 9/4). An der erstinstanzlichen Hauptverhandlung wies der Privatkläger zudem eine Uhr und eine Goldmünze vor (Prot. I S. 19). Der Vertei- diger reichte an der Berufungsverhandlung schliesslich Beilagen zum Wetter am</w:t>
      </w:r>
    </w:p>
    <w:p>
      <w:r>
        <w:rPr>
          <w:b/>
        </w:rPr>
        <w:t>E. 3.1</w:t>
      </w:r>
    </w:p>
    <w:p>
      <w:r>
        <w:t>Ausgangsgemäss hat der Beschuldigte dem Privatkläger eine angemessene Prozessentschädigung für anwaltliche Vertretung zu bezahlen (Art. 433 Abs. 1 lit. a StPO). Der Rechtsvertreter des Privatklägers, Rechtsanwalt lic. iur. X._____, macht für seine Aufwendungen und Barauslagen im Vorverfahren und im Berufungsverfahren ein Honorar in der Höhe von insgesamt Fr. 7'870.05 geltend (Urk. 65). Das geltend gemachte Honorar ist ausgewiesen und erscheint angemessen, weshalb der Be- schuldigte zu verpflichten ist, dem Privatkläger für das gesamte Verfahren eine Pro- zessentschädigung von Fr. 7'870.05 zu bezahlen.</w:t>
      </w:r>
    </w:p>
    <w:p>
      <w:r>
        <w:rPr>
          <w:b/>
        </w:rPr>
        <w:t>E. 3.2</w:t>
      </w:r>
    </w:p>
    <w:p>
      <w:r>
        <w:t>Dem Beschuldigten ist mit Blick auf den Ausgang des vorliegenden Verfahrens keine Prozessentschädigung zuzusprechen.</w:t>
      </w:r>
    </w:p>
    <w:p>
      <w:r>
        <w:t>- 23 - 4. Prozesskaution Die durch den Privatkläger geleistete Prozesskaution von Fr. 7'000.– (Urk. 48, Urk. 50) ist dem Privatkläger ausgangsgemäss nach Eintritt der Rechtskraft des Urteils zurückzuerstatten. Es wird erkannt: 1. Der Beschuldigte ist schuldig der Veruntreuung im Sinne von Art. 138 Ziff. 1 Abs. 1 StGB. 2. Der Beschuldigte wird bestraft mit einer Geldstrafe von 120 Tagessätzen zu Fr. 130.–. 3. Der Vollzug der Geldstrafe wird aufgeschoben und die Probezeit auf zwei Jahre festgesetzt. 4. Der Beschuldigte wird verpflichtet, dem Privatkläger Schadenersatz in der Höhe von Fr. 25'000.– zuzüglich 5% Zins seit dem 8. April 2022 zu bezah- len. 5. Die erstinstanzliche Gerichtsgebühr wird festgesetzt auf: Fr. 1'500.– ; die weiteren Kosten betragen: Fr. 2'500.– Gebühr für das Vorverfahren 6. Die zweitinstanzliche Gerichtsgebühr wird festgesetzt auf Fr. 3'600.–. 7. Die Kosten des erstinstanzlichen Verfahrens sowie diejenigen des Beru- fungsverfahrens werden dem Beschuldigten auferlegt.</w:t>
      </w:r>
    </w:p>
    <w:p>
      <w:r>
        <w:rPr>
          <w:b/>
        </w:rPr>
        <w:t>E. 8</w:t>
      </w:r>
    </w:p>
    <w:p>
      <w:r>
        <w:t>Der Beschuldigte wird verpflichtet, dem Privatkläger für das gesamte Verfah- ren eine Prozessentschädigung von Fr. 7'870.05 zu bezahlen.</w:t>
      </w:r>
    </w:p>
    <w:p>
      <w:r>
        <w:t>- 24 -</w:t>
      </w:r>
    </w:p>
    <w:p>
      <w:r>
        <w:rPr>
          <w:b/>
        </w:rPr>
        <w:t>E. 9</w:t>
      </w:r>
    </w:p>
    <w:p>
      <w:r>
        <w:t>Die durch den Privatkläger geleistete Prozesskaution von Fr. 7'000.– wird dem Privatkläger nach Eintritt der Rechtskraft des Urteils zurückerstattet.</w:t>
      </w:r>
    </w:p>
    <w:p>
      <w:r>
        <w:rPr>
          <w:b/>
        </w:rPr>
        <w:t>E. 10</w:t>
      </w:r>
    </w:p>
    <w:p>
      <w:r>
        <w:t>Mündliche Eröffnung und schriftliche Mitteilung im Dispositiv an die Verteidigung im Doppel für sich und zuhanden des Beschuldigten  (übergeben) die Staatsanwaltschaft Zürich-Limmat (versandt)  die Vertretung des Privatklägers im Doppel für sich und die  Privatklägerschaft (übergeben) sowie in vollständiger Ausfertigung an die Verteidigung im Doppel für sich und zuhanden des Beschuldigten  die Staatsanwaltschaft Zürich-Limmat  die Vertretung des Privatklägers im Doppel für sich und die  Privatklägerschaft und nach unbenütztem Ablauf der Rechtsmittelfrist bzw. Erledigung allfälliger Rechtsmittel an die Vorinstanz  das Migrationsamt des Kantons Zürich  die Koordinationsstelle VOSTRA/DNA mit Formular A  das Zentrale Inkasso der Gerichte betr. Dispo-Ziff. 9 </w:t>
      </w:r>
    </w:p>
    <w:p>
      <w:r>
        <w:rPr>
          <w:b/>
        </w:rPr>
        <w:t>E. 11</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 benen Weise schriftlich einzureichen.</w:t>
      </w:r>
    </w:p>
    <w:p>
      <w:r>
        <w:t>- 25 - Die Beschwerdelegitimation und die weiteren Beschwerdevoraussetzungen richten sich nach den massgeblichen Bestimmungen des Bundesgerichts- gesetzes. Obergericht des Kantons Zürich I. Strafkammer Zürich, 27. März 2025 Der Präsident: Die Gerichtsschreiberin: lic. iur. Ch. Prinz lic. iur. S. Kümin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