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SB240409 vom 24. Juni 2025</w:t>
      </w:r>
    </w:p>
    <w:p>
      <w:r>
        <w:t>ZH Obergericht, 2025-06-24, DE</w:t>
      </w:r>
    </w:p>
    <w:p>
      <w:r>
        <w:rPr>
          <w:b/>
        </w:rPr>
        <w:t xml:space="preserve">Quelle: </w:t>
      </w:r>
      <w:r>
        <w:t>https://mcp.opencaselaw.ch/entscheid/zh_obergericht_SB240409</w:t>
      </w:r>
    </w:p>
    <w:p>
      <w:r>
        <w:t>FR: ZH_OBERGERICHT SB240409 du 24 juin 2025</w:t>
      </w:r>
    </w:p>
    <w:p>
      <w:r>
        <w:t>IT: ZH_OBERGERICHT SB240409 del 24 giugno 2025</w:t>
      </w:r>
    </w:p>
    <w:p>
      <w:pPr>
        <w:pStyle w:val="Heading2"/>
      </w:pPr>
      <w:r>
        <w:t>Erwägungen</w:t>
      </w:r>
    </w:p>
    <w:p>
      <w:r>
        <w:rPr>
          <w:b/>
        </w:rPr>
        <w:t>E. 1</w:t>
      </w:r>
    </w:p>
    <w:p>
      <w:r>
        <w:t>Am 19. Juni 2024 meldete der Beschuldigte A._____ fristgerecht Berufung gegen das eingangs wiedergegebene Urteil des Bezirksgerichts Zürich, 6. Abtei- lung, (nachfolgend: Vorinstanz) vom 18. Juni 2024 an (Urk. 51), welches den Par- teien gleichentags mündlich sowie schriftlich im Dispositiv eröffnet worden war (vgl. Prot. I S. 55 ff.; Urk. 46). Im Anschluss an die Urteilseröffnung war der Be- schuldigte von der Vorinstanz zudem in Sicherheitshaft versetzt worden (Urk. 49). Eine dagegen gerichtete Beschwerde des Beschuldigten wies die zuständige III. Strafkammer des Obergerichts mit Beschluss vom 9. Juli 2024 ab (Urk. 62). In der Folge verfügte die Vorinstanz am 9. August 2024 auf Antrag des Beschuldig- ten einen Wechsel der amtlichen Verteidigung (vgl. Urk. 77 bis 79). Sodann er- liess die Vorinstanz am 10. Juli 2024 sowie am 16. August 2024 Nachtragsbe- schlüsse bezüglich der Entschädigung des unentgeltlichen Geschädigtenvertreters bzw. der vormaligen amtlichen Verteidigung (Urk. 63 und 84). Nach Zustellung des begründeten Urteils (Urk. 71 = Urk. 89) am 7. Au- gust 2024 (Urk. 87/2) reichte der neue amtliche Verteidiger des Beschuldigten, Rechtsanwalt Dr. iur. X1._____, dem Obergericht am 27. August 2024 fristgerecht die Berufungserklärung ein (Urk. 90). Das darin gestellte prozessuale Gesuch des Beschuldigten um Gewährung des vorzeitigen Strafvollzugs wurde mit Präsidial- verfügung vom 4. September 2024 bewilligt und der Beschuldigte in den vorzeiti- gen Strafvollzug versetzt (vgl. Urk. 97 und 102).</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 sche Strafprozessordnung, 3. Aufl., Basel 2023, N 1 f. zu Art. 402 StPO, m.w.H.). Mit der Berufungserklärung ist deshalb verbindlich anzugeben, auf welche Teile des angefochtenen Urteils sich die Berufung gegebenenfalls beschränkt (Art. 399 Abs. 3 lit. a sowie Abs. 4 StPO). Während eine nachträgliche Einschränkung der Berufung auch noch anlässlich der Berufungsverhandlung erklärt werden kann, ist eine Ausdehnung der Berufungsanträge auf bisher nicht angefochtene Teile des Urteils nach Ablauf der gesetzlichen Frist gemäss Art. 399 Abs. 3 Satz 1 StPO nicht mehr zulässig (vgl. BASLER KOMMENTAR, a.a.O., N 3 + 6 zu Art. 399 StPO). Gemäss Art. 399 Abs. 3 lit. b StPO sind mit der Berufungserklärung zudem refor- matorische Anträge in der Sache selbst zu stellen, d.h. vom Berufungskläger ist anzugeben, wie das Urteil nach seiner Ansicht richtigerweise lauten soll (BGE 149 IV 284, E. 2.2; BGE 143 IV 408, E. 6.1; BGer. 7B_539/2023 vom 3. Novem- ber 2023, E. 3.1.2). Die gestellten Rechtsbegehren sind dabei stets nach Treu und Glauben auszulegen, insbesondere im Lichte der dazu gegebenen Begrün- dung (BGE 147 V 369, E. 4.3.1; BGer. 6B_881/2021 vom 27. Juni 2022, E. 1.2; BGer. 7B_293/2022 vom 6. Januar 2024, E. 2.2.1 f.).</w:t>
      </w:r>
    </w:p>
    <w:p>
      <w:r>
        <w:t>- 11 -</w:t>
      </w:r>
    </w:p>
    <w:p>
      <w:r>
        <w:rPr>
          <w:b/>
        </w:rPr>
        <w:t>E. 1.2</w:t>
      </w:r>
    </w:p>
    <w:p>
      <w:r>
        <w:t>Der Beschuldigte beschränkte seine Berufung auf die Schuldsprüche gemäss Disp.-Ziff. 1, die Strafzumessung gemäss Disp.-Ziff. 2 und 3, die Anordnung der Landesverweisung und deren Ausschreibung im SIS gemäss Disp.-Ziff. 4 und 5, die Gutheissung von Zivilforderungen gemäss Disp.-Ziff. 6 und 7 sowie die Kostenauflage gemäss Disp.-Ziff. 13 und 14 des angefochtenen Urteils. Er verlangt einen Freispruch vom Vorwurf der versuchten vorsätzlichen Tötung, eine mildere Bestrafung, das Absehen von einer Landesverweisung, die Verweisung der Zivilforderungen auf den Zivilweg sowie die Reduktion der erstinstanzlichen Kostenauflage auf zwei Drittel, alles unter Kostenfolgen des Berufungsverfahrens zu Lasten des Staates (Urk. 90 S. 2).</w:t>
      </w:r>
    </w:p>
    <w:p>
      <w:r>
        <w:rPr>
          <w:b/>
        </w:rPr>
        <w:t>E. 1.3</w:t>
      </w:r>
    </w:p>
    <w:p>
      <w:r>
        <w:t>Der Privatkläger beschränkte seine Anschlussberufung auf den Entscheid über seine Zivilansprüche gemäss Disp.-Ziff. 6 und 7 des angefochtenen Urteils. Er verlangt die Zusprechung einer höheren Genugtuung von Fr. 25'000.– zuzü- glich Zins sowie die grundsätzliche Feststellung der Schadenersatzpflicht des Beschuldigten aus dem Ereignis vom 28. März 2023 (Urk. 103 S. 1).</w:t>
      </w:r>
    </w:p>
    <w:p>
      <w:r>
        <w:rPr>
          <w:b/>
        </w:rPr>
        <w:t>E. 1.4</w:t>
      </w:r>
    </w:p>
    <w:p>
      <w:r>
        <w:t>Unangefochten blieben somit die Dispositivziffern 8 bis 11 (Verfügungen über beschlagnahmte Gegenstände), 12 (Kostenfestsetzung) und 15 (definitive Übernahme der Kosten der unentgeltlichen Rechtsvertretung durch die Gerichts- kasse) des angefochtenen Urteils sowie die Nachtragsbeschlüsse der Vorinstanz vom 10. Juli 2024 und vom 16. August 2024 (Entschädigung der unentgeltlichen Rechtsvertretung bzw. des vormaligen amtlichen Verteidigers), was vorweg mittels Beschluss festzustellen ist.</w:t>
      </w:r>
    </w:p>
    <w:p>
      <w:r>
        <w:rPr>
          <w:b/>
        </w:rPr>
        <w:t>E. 1.5</w:t>
      </w:r>
    </w:p>
    <w:p>
      <w:r>
        <w:t>In allen übrigen Punkten ist das angefochtene Urteil im Berufungsverfahren zu überprüfen. Mit Ausnahme der auch vom Privatkläger angefochtenen Zivil- ansprüche ist dabei zu Gunsten des Beschuldigten das Verschlechterungs-verbot zu beachten (vgl.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w:t>
      </w:r>
    </w:p>
    <w:p>
      <w:r>
        <w:t>- 12 -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3. Die vorliegende Anklageschrift der Staatsanwaltschaft vom 27. November 2023 nennt als Tatzeit den "Abend" des 28. März 2023 sowie als Tatort die "D._____-Brücke" bzw. "D._____-brücke" (vgl. Urk. 19 S. 2; gemeint wohl: in Zü- rich). Gemäss übereinstimmenden Aussagen aller Beteiligten ereigneten sich die beiden anklagegegenständlichen Auseinandersetzungen zwischen dem Privatklä- ger und dem Beschuldigten jedoch nicht auf der D._____-brücke, sondern in der Umgebung der VBZ-Haltestelle "E._____-strasse" (F._____-strasse 4, ... Zürich), mithin ca. 500 Meter vom G._____ Ende der D._____-brücke entfernt. Auch der Beginn der Auseinandersetzung lässt sich anhand der vorliegenden Angaben re- lativ präzise auf ca. 19.15 Uhr festlegen (vgl. zum Ganzen auch nachstehend un- ter E. III./3.2). Nachdem es sich um offensichtliche Versehen seitens der Staats- anwaltschaft beim Verfassen der Anklageschrift handelt – die insbesondere auch von der Verteidigung nicht moniert wurden – und allen Beteiligten klar ist, wann und wo die fraglichen Auseinandersetzungen stattfanden, kann auf eine formelle Rückweisung der Anklageschrift an die Staatsanwaltschaft zur Verbesserung ge- mäss Art. 329 Abs. 1 und 2 StPO i.V.m. Art. 379 StPO verzichtet werden. 4. Die Beweisanträge des Beschuldigten sind mit Verweis auf die Erwägungen zur Sachverhaltserstellung abzuweisen (vgl. E. III./3.4.2 i.f.).</w:t>
      </w:r>
    </w:p>
    <w:p>
      <w:r>
        <w:t>- 13 - III. Schuldpunkt 1. Die Vorinstanz erachtete den Anklagesachverhalt weitestgehend als erstellt und sprach den Beschuldigten bezüglich der – gemäss Anklageschrift – "Ersten Auseinandersetzung" der versuchten einfachen Körperverletzung sowie bezüglich der "Zweiten Auseinandersetzung" der versuchten vorsätzlichen Tötung schuldig. Sie ging dabei bezüglich Ersterer – insofern zu Gunsten des Beschuldigten von der Anklageschrift abweichend – davon aus, es könne mangels Kenntnis näherer Umstände des vom Beschuldigten ausgeführten Fusstritts nicht mit Sicherheit ge- sagt werden, dass der Beschuldigte damit eine schwere Körperverletzung beim Privatkläger in Kauf genommen habe (Urk. 89 S. 56 ff.). Ferner könnten die in der Anklageschrift im Zusammenhang mit der "Ersten Auseinandersetzung" erwähn- ten Verletzungen des Privatklägers (Schürfungen/Blutergüsse) infolge Verletzung des Anklageprinzips nicht dem Beschuldigten zugerechnet werden (Urk. 89 S. 22 f.). Nachdem im vorliegenden Berufungsverfahren – wie bereits erwähnt – gemäss Art. 391 Abs. 2 StPO zu Gunsten des Beschuldigten das Verschlechterungsverbot zu beachten ist, hat es bei diesen beiden einschränkenden Feststellungen der Vorinstanz sein Bewenden. Auf ihre Richtigkeit zu überprüfen sind somit einzig die von der Vorinstanz zu Lasten des Beschuldigten ausgefällten Schuldsprüche. 2. Die Verteidigung brachte im Berufungsverfahren diesbezüglich zusammen- gefasst vor, dass zunächst die Vorgeschichte der beiden Auseinandersetzungen eine wichtige Rolle spiele. Namentlich machte sie eine rüpelhafte Fahrweise des Zeugen H._____ geltend, der wie auch der Privatkläger Lachgas konsumiert habe. Diese Fahrweise habe zu einem Sachschaden am Fahrzeug des Ehepaars A._____M._____ geführt und das Ehepaar genötigt (Urk. 129 Rz. 1 ff.; Prot. II S. 48 ff.). Bezüglich der "Ersten Auseinandersetzung" brachte die Verteidigung vor, infolge der vorangegangenen Nötigung sei es zu einer verbalen Auseinander- setzung zwischen den Fahrzeuginsassen gekommen. Dabei habe der Privatklä- ger gegenüber der Ehefrau des Beschuldigten anzügliche Gesten gemacht. Mithin sei die Situation aufgrund des Verhaltens des Zeugen H._____ und des Privatklä- gers emotional aufgeladen gewesen. Der Beschuldigte habe gemeint, der Privat-</w:t>
      </w:r>
    </w:p>
    <w:p>
      <w:r>
        <w:t>- 14 - kläger greife seine Ehefrau körperlich an. Daher habe er in (Putativ-)Notwehr(- hilfe) gehandelt, als es in der Folge zu einem physischen Schlagabtausch gekom- men sei. Der Privatkläger habe zuerst zugeschlagen. Die Darstellung des Privat- klägers hierzu, insbesondere zum behaupteten Kick des Beschuldigten in der Art eines "Penalty" und seiner eigenen Reaktion darauf, seien unrealistisch. Die Ver- letzungen des Privatklägers könnten auch durch einen Sturz entstanden sein. Mit- hin sei der anklagegegenständliche Fusstritt gegen den Kopf nicht erstellt und habe der Beschuldigte jedenfalls in Notwehr gehandelt (Urk. 129 Rz. 25 ff.). Nachdem der Beschuldigte und der Privatkläger voneinander abgelassen hätten, habe der Privatkläger in der Folge die Strasse mit dem Ziel überquert, seine Ag- gression erneut gegen das Ehepaar A._____M._____ zu richten (Urk. 129 Rz. 55 und 59). Es sei nicht abwegig, dass er beim Überqueren einer auf der Strasse be- findlichen Baustelle für Tramgeleise gestürzt sei und durch scharfkantige Gegen- stände Verletzungen erlitten habe (Urk. 129 Rz. 57). Bezüglich der "Zweiten Aus- einandersetzung" brachte die Verteidigung vor, diese sei durch den Privatkläger initiiert worden, der das Ehepaar A._____M._____ wiederum genötigt habe, in- dem er dessen Auto den Weg versperrt habe. Im Rahmen der nun folgenden Handgreiflichkeiten sei der Privatkläger auf den Rücken gefallen. Dabei hätte er sich erneut Verletzungen durch spitze Baustellenmaterialien zuziehen können. Mithin seien die Verletzungen des Privatklägers durch einen Sturz erklärbar. Überdies sei der Beschuldigte durch den Privatkläger bedroht worden und habe erneut in Notwehr gehandelt. Der Beschuldigte habe kein Messer eingesetzt. Die Aussagen des Privatklägers zum angeblichen Messereinsatz seien unglaubhaft und die Wunde mache mit ihrem Verlauf keinen Sinn (Urk. 129 Rz. 58 ff.). Im Üb- rigen ergebe sich die Unschuld des Beschuldigten auch aus dem Nachtatverhal- ten des Ehepaars A._____M._____ (Urk. 129 Rz. 98 ff.). Hingegen hätten der Pri- vatkläger und seine Freunde nicht die Polizei gerufen und sei deren Verhalten nach dem Vorfall generell eigenartig (Urk. 129 Rz. 108 ff.). Schliesslich machte die Verteidigung geltend, die Aussagen des Privatklägers und des Zeugen H._____ seien in vielerlei Hinsicht inkongruent bzw. unglaubhaft (Urk. 129 pas- sim).</w:t>
      </w:r>
    </w:p>
    <w:p>
      <w:r>
        <w:t>- 15 -</w:t>
      </w:r>
    </w:p>
    <w:p>
      <w:r>
        <w:rPr>
          <w:b/>
        </w:rPr>
        <w:t>E. 2</w:t>
      </w:r>
    </w:p>
    <w:p>
      <w:r>
        <w:t>Mit Präsidialverfügung vom 2. September 2024 wurde der Staatsanwalt- schaft und dem Privatkläger B._____ in Anwendung von Art. 400 Abs. 2 und 3 StPO sowie Art. 401 StPO eine Kopie der Berufungserklärung des Beschuldigten</w:t>
      </w:r>
    </w:p>
    <w:p>
      <w:r>
        <w:t>- 9 - zugestellt und Frist angesetzt, um Anschlussberufung zu erheben oder ein Nicht- eintreten auf die Berufung zu beantragen (Urk. 94). Die Staatsanwaltschaft liess sich nicht vernehmen. Der Privatkläger erklärte mit Eingabe vom 30. September 2024 (Poststempel) fristgerecht Anschlussberufung und ersuchte um Gewährung der unentgeltlichen Rechtspflege für das Berufungsverfahren (Urk. 103). Mit Prä- sidialverfügung vom 3. Oktober 2024 wurde dem Beschuldigten und der Staatsan- waltschaft die Anschlussberufung des Privatklägers zur Kenntnis gebracht (Urk. 104). Mit Präsidialverfügung vom 28. Oktober 2024 wurde dem Privatkläger mit Wirkung ab 30. September 2024 die unentgeltliche Rechtspflege gewährt (Urk. 108).</w:t>
      </w:r>
    </w:p>
    <w:p>
      <w:r>
        <w:rPr>
          <w:b/>
        </w:rPr>
        <w:t>E. 2.1</w:t>
      </w:r>
    </w:p>
    <w:p>
      <w:r>
        <w:t>Der Privatkläger verlangt mit seiner Anschlussberufung eine Erhöhung der Genugtuung auf Fr. 25'000.– zuzüglich Zins sowie die Feststellung, dass der Be- schuldigte für weiteren Schaden aus dem Ereignis vom 28. März 2023 schadener- satzpflichtig sei. Zur Begründung dessen führt er aus, ihm sei entgegen der Vorinstanz kein Selbstverschulden anzulasten. Weder habe er eine ursächliche Rolle für den Streit gehabt noch habe er sich sonst wie schuldhaft verhalten. Fer- ner seien die Folgen der Tat angesichts der langandauernden und eine psycholo- gische Behandlung nötig machenden immateriellen Unbill gravierend. Ein Grund- satzentscheid zur Haftpflicht des Beschuldigten sei notwendig (Urk. 103 S. 1; Urk. 133 S. 2 ff.).</w:t>
      </w:r>
    </w:p>
    <w:p>
      <w:r>
        <w:rPr>
          <w:b/>
        </w:rPr>
        <w:t>E. 2.2</w:t>
      </w:r>
    </w:p>
    <w:p>
      <w:r>
        <w:t>Der Beschuldigte hingegen beantragt die Abweisung der Zivilansprüche des Privatklägers, eventualiter die Verweisung sämtlicher Zivilansprüche des Privat-</w:t>
      </w:r>
    </w:p>
    <w:p>
      <w:r>
        <w:t>- 32 - klägers auf den Zivilweg. Zur Begründung dessen führt er aus, das vom Privatklä- ger eingereichte psychologische Attest sei ungenügend. Dem Privatkläger könne maximal ein Schmerzensgeld für die verheilten Verletzungen zugesprochen wer- den, wobei zu berücksichtigen sei, dass er ein Mitverschulden trage und ange- sichts der eingereichten Social Media-Beiträge nicht im behaupteten Ausmass be- einträchtigt gewesen sei (Urk. 90 S. 2; Urk. 129 Rz. 140; Prot. II S. 48). 3. Bezüglich der Genugtuungsforderung des Privatklägers kann nahezu voll- umfänglich auf die umfassenden und zutreffenden Erwägungen der Vorinstanz verwiesen werden (Urk. 89 S. 72 unten bis S. 75). Insbesondere hat bereits die Vorinstanz dem – von der Verteidigung mittels der besagten Social Media-Bei- träge untermauerten – Umstand Rechnung getragen, dass nicht davon auszuge- hen ist, dass der Privatkläger durch den anklagegegenständlichen Vorfall in aus- sergewöhnlichem Ausmass psychisch in Mitleidenschaft gezogen worden ist (Urk. 89 S. 74 unten bis S. 75). An dieser Einschätzung ändert auch der neu vom Privatkläger eingereichte Verlaufsbericht nichts, zumal dieser ohnehin nur die An- gaben des Privatklägers selbst wiedergibt (Urk. 134/2). Entgegen der Vertretung des Privatklägers ist diesem sodann mit der Vorinstanz anzulasten, dass er sich, nachdem die Auseinandersetzung eigentlich schon beendet war und sich die Streitparteien getrennt hatten, dem Auto des Ehepaars A._____M._____ in den Weg stellte, den Beschuldigten dadurch (erneut) provozierte und damit die "Zweite Auseinandersetzung" auslöste. Unverständlich ist lediglich der Verweis der Vorinstanz auf das im Rahmen der Strafzumessung ermittelte Tatverschulden (Urk. 89 S. 75 E. 7), hat dieses doch mit dem im vorliegenden Zusammenhang massgeblichen zivilrechtlichen Verschulden grundsätzlich nichts zu tun. Eine rele- vante Einschränkung des zivilrechtlichen Verschuldens ist nicht ersichtlich, han- delte der Beschuldigte doch (zivilrechtlich) mit Vorsatz und ohne Beeinträchtigung seiner Urteilsfähigkeit. In Bestätigung des vorinstanzlichen Urteils ist der Beschuldigte deshalb zu ver- pflichten, dem Privatkläger eine Genugtuung von Fr. 9'000.– zuzüglich 5 % Zins seit 28. März 2023 zu bezahlen. Im Mehrbetrag ist das Genugtuungsbegehren des Privatklägers abzuweisen.</w:t>
      </w:r>
    </w:p>
    <w:p>
      <w:r>
        <w:t>- 33 - 4. Was die Verweisung der Schadenersatzforderungen des Privatklägers durch die Vorinstanz auf den Zivilweg (anstelle der beantragten Feststellung der Scha- denersatzpflicht des Beschuldigten im Grundsatz) angeht, so machte der Privat- kläger – entgegen der Vorinstanz (in Urk. 89 S. 76) – sehr wohl Ausführungen zu seinem diesbezüglichen Feststellungsinteresse. Namentlich machte er geltend, seit dem eingeklagten Ereignis nicht mehr arbeitsfähig zu sein, wobei der Scha- den "noch nicht abgeschlossen sei", weshalb eine Bezifferung verfrüht erscheine, zumal offen sei, ob die Leistungen der Unfallversicherung dereinst von solchen der Invalidenversicherung abgelöst würden (Urk. 40 S. 8). Entsprechend besteht offenkundig ein Feststellungsinteresse des Privatklägers, nachdem seine Zivilan- sprüche im heutigen Zeitpunkt nicht abschliessend beurteilt werden können. Ge- mäss Art. 126 Abs. 3 StPO ist deshalb festzustellen, dass der Beschuldigte ge- genüber dem Privatkläger aus dem eingeklagten Ereignis vom 28. März 2023 dem Grundsatze nach schadenersatzpflichtig ist. Zur genauen Feststellung des Umfangs des Schadenersatzanspruches ist der Privatkläger auf den Weg des Zi- vilprozesses zu verweisen. 5. Die Vorinstanz verpflichtete den Beschuldigten gegenüber dem Privatkläger zum Ersatz der Kosten eines vom Privatkläger zur Geltendmachung seiner Zivil- ansprüche eingeholten Verlaufsberichts seiner Psychotherapeutin (vgl. Urk. 34 S. 4; Urk. 35/4) im Betrag von Fr. 95.– zuzüglich 5 % Zins seit 4. April 2024 (Urk. 89 S. 76). Entgegen der Vorinstanz handelt es dabei nicht um einen im Rah- men der Deliktshaftung nach Art. 41 OR ersatzfähigen Schaden, da der diesbe- zügliche Aufwand erst im Rahmen eines Prozesses um die Schadenersatzpflicht angefallen ist. Richtigerweise handelt es sich bei dieser Forderung (sinngemäss) um eine solche nach Prozessentschädigung gemäss Art. 433 Abs. 1 StPO. Selbi- ges gilt für die im Berufungsverfahren geltend gemachten Fr. 120.– für einen aktu- ellen Verlaufsbericht (Urk. 133 S. 4; Urk. 134/3). Mithin sind diese Beträge im Rahmen der Bemessung der Entschädigung der Vertretung des Privatklägers mit- einzubeziehen, unter Vorbehalt der Abrechnung mit ihrer Klientschaft.</w:t>
      </w:r>
    </w:p>
    <w:p>
      <w:r>
        <w:t>- 34 - VII. Kosten- und Entschädigungsfolgen 1. Das erstinstanzliche Kostendispositiv (Ziff. 13 und 14) ist ausgangsgemäss sowie unter Hinweis auf die zutreffenden Erwägungen der Vorinstanz hierzu (Urk. 89 S. 79) ohne Weiteres zu bestätigen. Der im Berufungsverfahren ergan- gene Teilfreispruch bezüglich des Vorwurfs der versuchten einfachen Körperver- letzung und die mildere Bestrafung fallen insgesamt zu wenig ins Gewicht, um eine anderweitige erstinstanzliche Kostenverlegung zu rechtfertigen. 2. Die Kosten des Berufungsverfahrens sind nach Obsiegen und Unterliegen der Parteien zu verteilen (Art. 428 Abs. 1 StPO). Der Beschuldigte obsiegt mit sei- ner Berufung insofern, als er einen Freispruch vom Vorwurf der versuchten einfa- chen Körperverletzung sowie eine mildere Bestrafung erreicht. Im Übrigen unter- liegt der Beschuldigte jedoch mit seiner umfassenden Berufung gegen das vorinstanzliche Urteil. Auch der Privatkläger obsiegt mit seiner Anschlussberufung teilweise, indem er die Feststellung der Schadenersatzpflicht des Beschuldigten im Grundsatz erreicht. Im Übrigen unterliegt auch der Privatkläger mit seiner An- schlussberufung. Insgesamt rechtfertigt es sich deshalb, die Kosten des Berufungsverfahrens – mit Ausnahme der Kosten der amtlichen Verteidigung und der unentgeltlichen Vertretung der Privatklägerschaft – zu 5/10 dem Beschuldigten und zu 2/10 dem Privatkläger aufzuerlegen und im Übrigen auf die Gerichtskasse zu nehmen. Der Kostenanteil des Privatklägers sowie die Kosten der Vertretung der Privatklägerschaft sind zufolge Gewährung der unentgeltlichen Rechtspflege je- doch ebenfalls definitiv auf die Gerichtskasse zu nehmen (Art. 136 Abs. 2 lit. b und c StPO und Art. 138 Abs. 1bis StPO). Die Kosten der amtlichen Verteidigung sind im Umfang von 1/2 einstweilen sowie im Umfang von 1/2 definitiv auf die Gerichtskasse zu nehmen. Die Rückzahlungs- pflicht des Beschuldigten bleibt im Umfang von 1/2 vorbehalten (Art. 135 Abs. 4 StPO).</w:t>
      </w:r>
    </w:p>
    <w:p>
      <w:r>
        <w:t>- 35 - 3. Die amtliche Verteidigung ist gestützt auf die eingereichte Honorarnote (Urk. 131) für ihre Bemühungen und Auslagen im Berufungsverfahren unter leich- ter Erhöhung für die Berufungsverhandlung und die Nachbesprechung mit insge- samt Fr. 23'000.– (inkl. MwSt. und Barauslagen) zu entschädigen. Die Vertretung des Privatklägers ist gestützt auf die eingereichte Honorarnote (Urk. 135) unter leichter Erhöhung für die Berufungsverhandlung und die Nachbesprechung sowie unter Einbezug der für die Verlaufsberichte geltend gemachten Fr. 95.– und Fr. 120.– mit insgesamt Fr. 4'800.– (inkl. MwSt. und Barauslagen) zu entschädi- gen. Es wird beschlossen:</w:t>
      </w:r>
    </w:p>
    <w:p>
      <w:r>
        <w:rPr>
          <w:b/>
        </w:rPr>
        <w:t>E. 2.3</w:t>
      </w:r>
    </w:p>
    <w:p>
      <w:r>
        <w:t>Gestützt auf ein gesamthaft noch leichtes Verschulden wäre die Einzelstrafe für das vollendete Delikt auf 8 Jahre Freiheitsstrafe anzusetzen. Strafmindernd ist jedoch weiter zu berücksichtigen, dass es beim Versuch blieb (Art. 22 Abs. 1 StGB). Dies ist vorliegend in erster Linie dem Zufall und nicht dem Beschuldigten zu verdanken, stach dieser doch mindestens vier Mal kraftvoll auf den Oberkörper des Beschuldigten ein, wobei jeder dieser Stiche potenziell tödlich hätte sein kön- nen. Tatsächlich fiel jedoch selbst der Stich in den Rücken letztlich nicht lebens- gefährlich aus. Sodann liess der Beschuldigte wenigstens auf Intervention seiner Ehefrau schliesslich vom Privatkläger ab. Insgesamt rechtfertigt sich unter dem Gesichtspunkt des vollendeten Versuchs eine Strafminderung von 1 ½ Jahren.</w:t>
      </w:r>
    </w:p>
    <w:p>
      <w:r>
        <w:rPr>
          <w:b/>
        </w:rPr>
        <w:t>E. 2.4</w:t>
      </w:r>
    </w:p>
    <w:p>
      <w:r>
        <w:t>Aufgrund der Tatkomponenten resultiert somit eine Freiheitsstrafe von 6 ½ Jahren. Es bleibt die Täterkomponente zu berücksichtigen.</w:t>
      </w:r>
    </w:p>
    <w:p>
      <w:r>
        <w:t>- 27 -</w:t>
      </w:r>
    </w:p>
    <w:p>
      <w:r>
        <w:rPr>
          <w:b/>
        </w:rPr>
        <w:t>E. 3</w:t>
      </w:r>
    </w:p>
    <w:p>
      <w:r>
        <w:t>Am 19. November 2024 wurden die Parteien auf den 24. Juni 2025 zur Be- rufungsverhandlung vorgeladen (Urk. 111).</w:t>
      </w:r>
    </w:p>
    <w:p>
      <w:r>
        <w:rPr>
          <w:b/>
        </w:rPr>
        <w:t>E. 3.1</w:t>
      </w:r>
    </w:p>
    <w:p>
      <w:r>
        <w:t>Bezüglich der persönlichen Verhältnisse des Beschuldigten kann vorab auf die zutreffende Darstellung der Vorinstanz im angefochtenen Entscheid verwiesen werden (Urk. 89 S. 65 f.). Anlässlich der Berufungsverhandlung führte der Beschuldigte (neu) aus, dass es ihm gesundheitlich gut gehe und er sich mittlerweile im vorzeitigen Strafvollzug befinde, wo er in der Werkstatt arbeite. Er werde wöchentlich von seiner Ehefrau und der gemeinsamen Tochter sowie möglichst häufig von seinen beiden Stief- söhnen besucht. Hinsichtlich seiner finanziellen Verhältnisse gab er an, Kredit- schulden von ungefähr Fr. 17'000.– sowie einen Anteil an einer Erbschaft in der Türkei bestehend aus mehreren Grundstücken zu haben (Prot. II S. 12 ff. und S. 17). Aus den persönlichen Verhältnissen des Beschuldigten ergeben sich keine straf- zumessungsrelevanten Umstände.</w:t>
      </w:r>
    </w:p>
    <w:p>
      <w:r>
        <w:rPr>
          <w:b/>
        </w:rPr>
        <w:t>E. 3.2</w:t>
      </w:r>
    </w:p>
    <w:p>
      <w:r>
        <w:t>Der Beschuldigte weist in der Schweiz keine Vorstrafen auf (Urk. 127). Die Vorinstanz ging jedoch gestützt auf einen vom Beschuldigten im Rahmen eines migrationsrechtlichen Verfahrens im April 2021 eingereichten türkischen Strafre- gisterauszug (Urk. 18/9 pag. 85 ff.) davon aus, dass der Beschuldigte im Jahr 2019 in der Türkei wegen "Bedrohens mit einer Waffe" zu einer bedingten Frei- heitsstrafe "unbekannter Dauer" bei einer Probezeit von 5 Jahren verurteilt wor- den sei. In der Folge berücksichtigte sie diese "einschlägige Vorstrafe" im Umfang von 6 Monaten straferhöhend, zumal der Beschuldigte während laufender Probe- zeit erneut einschlägig delinquiert habe (Urk. 89 S. 66 f.). Hierzu ist zunächst zu bemerken, dass es bereits aus formellen Gründen durchaus fraglich erscheint, ob auf diesen türkischen Strafregisterauszug überhaupt (zu Lasten des Beschuldig- ten) abgestellt werden darf, wurde er vom Beschuldigten doch im Rahmen eines migrationsrechtlichen Verfahrens unter Hinweis auf die dort geltende Mitwirkungs- pflicht gemäss Art. 90 AuG (heute: AIG) erhoben und nicht auf dem ordentlichen Rechtshilfeweg in Strafsachen eingeholt. Zudem war dieser Auszug schon im Zeitpunkt des vorinstanzlichen Urteils bereits über drei Jahre alt. Mit Blick auf die nachfolgenden Erwägungen kann die Frage der Verwertbarkeit jedoch letztlich of- fen gelassen werden: Entgegen der Vorinstanz ergibt sich aus dem türkischen</w:t>
      </w:r>
    </w:p>
    <w:p>
      <w:r>
        <w:t>- 28 - Strafregisterauszug nämlich gar nicht (oder jedenfalls nicht mit hinreichender Si- cherheit), dass der Beschuldigte im Jahr 2019 in der Türkei zu einer "bedingten Freiheitsstrafe unbekannter Dauer bei einer Probezeit von 5 Jahren" verurteilt wurde. Vielmehr wird darin als "Art des Urteils" die "Aussetzung der Verkündung des Urteils" genannt (Urk. 18/9 pag. 87) bzw. im türkischen Original: "Hükmün Açiklanmasinin Geri Birakilmasi" (Urk. 18/9 pag. 88). Dabei handelt es sich um ein besonderes Institut des türkischen Strafrechts, das es dem Gericht (anders als in der Schweiz) erlaubt, unter bestimmten Voraussetzungen nicht nur eine bedingte Strafe, sondern eine "bedingte Verurteilung" zu erlassen. Dem Beschuldigten wird dann eine Probezeit (in der Regel fünf Jahre) angesetzt und das Verfahren wäh- rend dieser Zeit sistiert. Besteht der Beschuldigte die ihm angesetzte Probezeit, wird das Verfahren definitiv eingestellt und zählt nicht als Vorstrafe (vgl. zum Gan- zen etwa: https://www.karanfiloglu.av.tr/de/was-ist-der-aufschub-der-urteilsver- kuendung/). Vor diesem Hintergrund ist der türkische Strafregisterauszug des Be- schuldigten richtigerweise so zu verstehen, dass ihm wegen einer am 15. August 2013 begangenen Straftat (Bedrohung mit einer Waffe) im Jahr 2014 (vgl. das Ak- tenzeichen "2014/…" links oben auf Urk. 18/9 pag. 87) der Aufschub der Urteils- verkündung bei einer Probezeit von fünf Jahren gewährt wurde. Diese Probezeit lief im Jahr 2019 ab. In der Folge wurde das Verfahren mit Urteil vom 4. Novem- ber 2019 definitiv eingestellt, nachdem der Beschuldigte die Probezeit offenbar bestanden hatte. Gemäss türkischem Recht liegt somit keine frühere Verurteilung des Beschuldigten vor, die vorliegend straferhöhend zu berücksichtigen wäre. Dies gilt auch für die vom Beschuldigten zugestandene Verurteilung wegen eines Vorfalls im Jahr 2011, wofür er wegen Begünstigung zur Bezahlung von TL 5'000.– (entspricht etwas mehr als Fr. 100.–) verurteilt worden sei (Prot. II S. 15 ff.). Die genaue Natur dieser Verurteilung kann offenbleiben, da dieser Vor- fall lange zurückliegt und die Strafe geringfügig ausfiel, sodass ihr keine relevante straferhöhende Wirkung zukommt.</w:t>
      </w:r>
    </w:p>
    <w:p>
      <w:r>
        <w:rPr>
          <w:b/>
        </w:rPr>
        <w:t>E. 3.3</w:t>
      </w:r>
    </w:p>
    <w:p>
      <w:r>
        <w:t>Aus dem Nachtatverhalten des Beschuldigten ergibt sich keine Strafminde- rung. Insbesondere legte der Beschuldigte bis zuletzt weder ein Geständnis ab noch zeigte er Einsicht oder gar Reue über seine Tat.</w:t>
      </w:r>
    </w:p>
    <w:p>
      <w:r>
        <w:t>- 29 -</w:t>
      </w:r>
    </w:p>
    <w:p>
      <w:r>
        <w:rPr>
          <w:b/>
        </w:rPr>
        <w:t>E. 3.4</w:t>
      </w:r>
    </w:p>
    <w:p>
      <w:r>
        <w:t>Insgesamt wirken sich die Täterkomponenten strafzumessungsneutral aus. 4. Der Beschuldigte ist somit unter Berücksichtigung sämtlicher Strafzumes- sungsgründe mit einer Freiheitsstrafe von 6 ½ Jahren zu bestrafen. Davon sind bis und mit heute insgesamt 464 Tage durch Sicherheitshaft sowie vorzeitigen Strafvollzug erstanden (92 Tage Untersuchungshaft, vgl. Urk. 89 S. 68 oben, zu- züglich 372 Tage Sicherheitshaft bzw. vorzeitiger Strafvollzug von 18. Juni 2024 bis und mit heute (24. Juni 2025); Art. 51 StGB). Ein bedingter oder teilbedingter Strafvollzug fällt bei dieser Strafhöhe nicht in Betracht (Art. 42 f. StGB e contra- rio). Die Freiheitsstrafe ist zu vollziehen. V. Landesverweisung / SIS-Ausschreibung 1. Die von der Vorinstanz gestützt auf Art. 66a Abs. 1 lit. a StGB ausgespro- chene obligatorische Landesverweisung des Beschuldigten von 10 Jahren ist un- ter Hinweis auf die einlässlichen und zutreffenden Erwägungen der Vorinstanz hierzu (Urk. 89 S. 68 ff.) ungeachtet des Wegfalls der vermeintlichen türkischen Vorstrafe des Beschuldigten ohne Weiteres zu bestätigen, zumal sich im Beru- fungsverfahren diesbezüglich keine wesentlichen Neuerungen oder Änderungen ergeben haben. Der heute 36-jährige Beschuldigte lebte zum Tatzeitpunkt erst seit rund 18 Monaten in der Schweiz; heute sind es rund 3 ½ Jahre, wovon er aber rund 1 ¼ Jahre in Haft verbrachte. Eine überdurchschnittliche Integration liegt offenkundig nicht vor, geschweige denn ausserordentliche Umstände, die nach der sog. "Zweijahresregel" vorliegend aber erforderlich wären, um einen Härtefall zu begründen (vgl. BGer. 6B_607/2024 vom 2. April 2025, E. 1.1.4; BGer. 6B_771/2022 vom 25. Januar 2023, E. 1.3; je m.w.H.). Eine Rückkehr in die Türkei ist dem dort aufgewachsenen Beschuldigten denn auch ohne Weiteres zumutbar. Daran ändert auch nichts, dass er mehr als ein Jahr nach der Tat Vater eines Kindes mit seiner Ehefrau geworden ist. Die Familiengründung in Kenntnis der drohenden Landesverweisung kann nicht zu seinen Gunsten ausgelegt wer- den, da die Umstände der Familiengründung bei der Interessenabwägung zu be- rücksichtigen sind (BGer. 6B_1394/2019 vom 17. Juli 2020, E. 4.2.2). Im Übrigen wäre einem Kind im anpassungsfähigen Alter der Umzug in das Heimatland</w:t>
      </w:r>
    </w:p>
    <w:p>
      <w:r>
        <w:t>- 30 - grundsätzlich zumutbar (BGer. 6B_303/2024 vom 12. Juni 2024, E. 2.1.4). Dass der Beschuldigte eine freundschaftliche und wohlwollende bzw. "brüderliche" Be- ziehung zu seinen Stiefsöhnen aufgebaut habe, ändert nichts an dieser Einschät- zung, zumal die Stiefsöhne – wenn auch nicht mit der gewünschten Regelmässig- keit – mit ihrem leiblichen Vater Kontakt unterhalten, also in ein familiäres Umfeld eingebettet sind (vgl. Urk. 129 Rz. 132 und 135). Angesichts der Schwere des De- likts sowie der Höhe der ausgefällten Freiheitsstrafe erweist sich eine 10-jährige Landesverweisung sodann jedenfalls nicht als zu lang. Die Ausfällung einer län- geren Landesverweisung ist bereits aufgrund des Verschlechterungsverbots aus- geschlossen (Art. 391 Abs. 2 StPO).</w:t>
      </w:r>
    </w:p>
    <w:p>
      <w:r>
        <w:rPr>
          <w:b/>
        </w:rPr>
        <w:t>E. 4</w:t>
      </w:r>
    </w:p>
    <w:p>
      <w:r>
        <w:t>Am 13. bzw. 20. Dezember 2024 reichte die Verteidigung dem Gericht meh- rere "TikTok-Videos" als Beweismittel ein, was den übrigen Parteien zur Kenntnis gebracht wurde (vgl. Urk. 112 bis 116). Am 28. Februar 2025 ersuchte die Vertei- digung um Produktion der im IRM erstellten Fotodokumentation über die körperli- che Untersuchung des Beschuldigten, welche in der Folge vom Gericht beigezo- gen und den Parteien zur Kenntnis gebracht wurde (vgl. Urk. 117 bis 121). Am</w:t>
      </w:r>
    </w:p>
    <w:p>
      <w:r>
        <w:rPr>
          <w:b/>
        </w:rPr>
        <w:t>E. 7</w:t>
      </w:r>
    </w:p>
    <w:p>
      <w:r>
        <w:t>April 2025 beantragte die Verteidigung ferner die Einholung eines aktuellen Strafregisterauszugs über den Privatkläger (Urk. 122). Dieser Beweisantrag wurde mit Präsidialverfügung vom 28. April 2025 jedoch einstweilen abgewiesen (Urk. 125). Am 20. Mai 2025 wurde vom Gericht sodann von Amtes wegen ein ak- tueller Strafregisterauszug über den Beschuldigten eingeholt (Urk. 127). 5. Zur Berufungsverhandlung erschienen der Beschuldigte A._____ (aus dem vorzeitigen Strafvollzug zugeführt) in Begleitung seines amtlichen Verteidigers Rechtsanwalt Dr. iur. X1._____, Staatsanwalt lic. iur. C._____ sowie der unent- geltliche Vertreter des Privatklägers, Rechtsanwalt lic. iur. Y._____. Die Parteien stellten die eingangs wiedergegebenen Anträge (Prot. II S. 8 ff.; Urk. 129 S. 2; Urk. 132; Urk. 133 S. 1 f.). Es waren keine Vorfragen zu behandeln (Prot. II S. 11). Die Anklägerin und der Privatkläger stellten keine Beweisanträge (Prot. II S. 31). Die Verteidigung erklärte, neben den bereits gestellten keine weiteren Be-</w:t>
      </w:r>
    </w:p>
    <w:p>
      <w:r>
        <w:t>- 10 - weisanträge zu stellen (Prot. II S. 31). Während des Parteivortrags bekräftigte sie ihren Antrag, einen aktuellen Strafregisterauszug des Privatklägers beizuziehen (Urk. 129 Rz. 115). Zudem ersuchte sie um Befragung der zum Tatzeitpunkt diensthabenden Polizisten, die Telefone zu einem auffällig fahrenden Audi RS7 entgegengenommen hatten (Urk. 129 Rz. 105; Prot. II S. 35). Wie nachfolgend zu zeigen sein wird (vgl. E. II./4. und E. III./3.4.2 i.f.), erweist sich das Verfahren je- doch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