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SB240356 vom 30. September 2024</w:t>
      </w:r>
    </w:p>
    <w:p>
      <w:r>
        <w:t>ZH Obergericht, 2024-09-30, DE</w:t>
      </w:r>
    </w:p>
    <w:p>
      <w:r>
        <w:rPr>
          <w:b/>
        </w:rPr>
        <w:t xml:space="preserve">Quelle: </w:t>
      </w:r>
      <w:r>
        <w:t>https://mcp.opencaselaw.ch/entscheid/zh_obergericht_SB240356</w:t>
      </w:r>
    </w:p>
    <w:p>
      <w:r>
        <w:t>FR: ZH_OBERGERICHT SB240356 du 30 septembre 2024</w:t>
      </w:r>
    </w:p>
    <w:p>
      <w:r>
        <w:t>IT: ZH_OBERGERICHT SB240356 del 30 settembre 2024</w:t>
      </w:r>
    </w:p>
    <w:p>
      <w:pPr>
        <w:pStyle w:val="Heading2"/>
      </w:pPr>
      <w:r>
        <w:t>Erwägungen</w:t>
      </w:r>
    </w:p>
    <w:p>
      <w:r>
        <w:rPr>
          <w:b/>
        </w:rPr>
        <w:t>E. 1</w:t>
      </w:r>
    </w:p>
    <w:p>
      <w:r>
        <w:t>Prozessgeschichte</w:t>
      </w:r>
    </w:p>
    <w:p>
      <w:r>
        <w:rPr>
          <w:b/>
        </w:rPr>
        <w:t>E. 1.1</w:t>
      </w:r>
    </w:p>
    <w:p>
      <w:r>
        <w:t>Die Vorinstanz hat den Strafrahmen sowie die Theorie zur Strafzumessung zutreffend dargelegt, weshalb darauf verwiesen werden kann (Urk. 31 S. 15 ff.). Ebenfalls ist die vorinstanzliche Feststellung richtig, dass vorliegend eine Gelds- trafe auszufällen ist.</w:t>
      </w:r>
    </w:p>
    <w:p>
      <w:r>
        <w:rPr>
          <w:b/>
        </w:rPr>
        <w:t>E. 1.1.1</w:t>
      </w:r>
    </w:p>
    <w:p>
      <w:r>
        <w:t>Wie bereits unter den Ausführungen zum Sachverhalt ausgeführt, hat der Beschuldigte pflichtwidrig gehandelt, als er trotz aktiver (blinkender) Warnsignali- sation auf den Bahnübergang aufgefahren ist. Er wäre dazu verpflichtet gewesen, vor der Bahnschranke anzuhalten. Keinesfalls darf ein Autolenker bei Unsicherheit darüber, ob die Warnsignalisation aktiv ist oder nicht, einen Bahnübergang passie- ren. Besteht Unsicherheit darüber, ob die Warnsignalisation aktiv ist oder nicht, muss diese zuerst überprüft werden, bevor ein Überfahren der Bahnanlage gestat- tet ist. Diese Pflicht oblag selbstverständlich auch dem Beschuldigten als Fahr- zeuglenker. Der Beschuldigte ist jedoch seiner Pflicht aus Unvorsichtigkeit nicht nachgekommen.</w:t>
      </w:r>
    </w:p>
    <w:p>
      <w:r>
        <w:t>- 9 -</w:t>
      </w:r>
    </w:p>
    <w:p>
      <w:r>
        <w:rPr>
          <w:b/>
        </w:rPr>
        <w:t>E. 1.1.2</w:t>
      </w:r>
    </w:p>
    <w:p>
      <w:r>
        <w:t>Dass bei geschlossener Bahnschranke ein Einfahren eines Personen- oder eines Güterzuges möglich ist, versteht sich von selber. Ebenfalls ist notorisch, dass eine erhebliche Gefahrensituation geschaffen wird, wenn ein Personenwagen auf einem Bahnübergang stehenbleibt, wenn ein Personen- oder ein Güterzug einfährt.</w:t>
      </w:r>
    </w:p>
    <w:p>
      <w:r>
        <w:rPr>
          <w:b/>
        </w:rPr>
        <w:t>E. 1.2</w:t>
      </w:r>
    </w:p>
    <w:p>
      <w:r>
        <w:t>Zur objektiven Tatschwere hat die Vorinstanz festgehalten, dass aufgrund des Handelns des Beschuldigten niemand konkret gefährdet worden sei und die</w:t>
      </w:r>
    </w:p>
    <w:p>
      <w:r>
        <w:t>- 10 - kriminelle Energie des Beschuldigten als gering erscheine. Die Vorinstanz hat – unter Berücksichtigung aller denkbaren groben Verkehrsregelverletzungen – die Widerhandlung als nicht besonders gravierend und das objektive Tatverschulden als leicht bezeichnet. Dies ist allzu wohlwollend bemessen. Es ist richtig, dass die kriminelle Energie des Beschuldigten als gering erscheint. Allerdings fuhr er auf den Bahnübergang, als nicht nur das Blinksignal leuchtete, sondern auch bereits die erste Schranke (aus seiner Fahrtrichtung gesehen) derart tief stand, so dass es zu einer Touchierung mit seinem Fahrzeug kam. Hinsichtlich des subjektiven Tatverschuldens hat die Vorinstanz ausgeführt, dass der Beschuldigte spontan reagiert habe, jedoch ein nachvollziehbarer Grund für sein Handeln nicht ersichtlich sei. Das ist zutreffend. Die subjektiven Aspekte vermögen das Verschulden nicht zu relativieren. Das fahrlässige Handeln ist Tatbestandselement und darf deshalb nicht nochmals entlastend berücksichtigt werden. Insgesamt ist von einem noch leichten Verschulden auszugehen.</w:t>
      </w:r>
    </w:p>
    <w:p>
      <w:r>
        <w:rPr>
          <w:b/>
        </w:rPr>
        <w:t>E. 1.3</w:t>
      </w:r>
    </w:p>
    <w:p>
      <w:r>
        <w:t>Wenn die Vorinstanz nach dem Gesagten eine Einsatzstrafe von 20 Tages- sätzen festlegt, so erscheint dies erneut allzu wohlwollend und steht nicht im Ein- klang mit dem noch leichten Verschulden. Aufgrund des Verschlechterungsverbots (und auch mit Blick auf die Strafzumessung hinsichtlich des zweiten Delikts und die Verbindungsbusse) ist die vorinstanzliche hypothetische Einsatzstrafe von 20 Tagessätzen aber zu übernehmen. 2. Tatkomponente Störung von Betrieben und Dienste der Allgemeinheit</w:t>
      </w:r>
    </w:p>
    <w:p>
      <w:r>
        <w:rPr>
          <w:b/>
        </w:rPr>
        <w:t>E. 2</w:t>
      </w:r>
    </w:p>
    <w:p>
      <w:r>
        <w:t>Urteil der Vorinstanz Die Vorinstanz kam zum Schluss, dass sich der Sachverhalt in objektiver und in subjektiver Hinsicht hinreichend erstellen liesse, wie er von der Staatsanwalt- schaft in der Anklageschrift umschrieben worden sei und sprach den Beschuldigten schuldig der fahrlässigen groben Verletzung der Verkehrsregeln im Sinne von Art. 90 Abs. 2 SVG in Verbindung mit Art. 28 SVG, Art. 93 Abs. 2 SSV sowie</w:t>
      </w:r>
    </w:p>
    <w:p>
      <w:r>
        <w:t>- 5 - Art. 100 Ziff. 1 Abs. 1 SVG und der fahrlässigen Störung von Betrieben im Dienste der Allgemeinheit im Sinne von Art. 239 Ziff. 1 Abs. 1 StGB in Verbindung mit Art. 239 Ziff. 2 StGB (Urk. 31 S. 12).</w:t>
      </w:r>
    </w:p>
    <w:p>
      <w:r>
        <w:rPr>
          <w:b/>
        </w:rPr>
        <w:t>E. 2.1</w:t>
      </w:r>
    </w:p>
    <w:p>
      <w:r>
        <w:t>Die Vorinstanz hat hier die objektive Tatschwere ebenfalls als "leicht" bezeichnet, mit der Begründung, dass der Beschuldigte die Weiterfahrt des Güter- zugs um zwei Stunden verhindert habe, obwohl er den Unfall hätte vermeiden kön- nen. Zwar sei eine abstrakte Gefahr für weitere Verkehrsteilnehmende geschaffen worden. Ein Personenschaden sei aber nicht entstanden und der Güterzug habe lediglich einen leichteren Sachschaden erlitten. Diese vorinstanzlichen Erwägun- gen sind zutreffend und können so übernommen werden. Das subjektiv Tatver- schulden ordnete die Vorinstanz gestützt auf diese Erwägungen als "sehr leicht" ein, weil der Beschuldigte sich während des Vorfalls in einer "Schockstarre" befun- den habe.</w:t>
      </w:r>
    </w:p>
    <w:p>
      <w:r>
        <w:t>- 11 - Dieses Prädikat ist in Anbetracht der konkreten Umstände wiederum als allzu wohl- wollend zu beurteilen. Eine eigentliche "Schockstarre" ist beim Beschuldigten nicht auszumachen und wird von ihm auch nicht vorgebracht. Zwar ist auf den Videoauf- nahmen zu sehen, wie sich der Beschuldigte unsicher verhält und nicht recht weiss, was er tun soll. Er reagierte jedoch auf Zurufen und befolgte schliesslich doch noch die Anweisungen der umstehenden Personen (vom Geleis wegzustehen) (Urk. 3/1- 2). Hier von einer "Schockstarre" zu sprechen, geht nach dem Gesagten zu weit. Das Verschulden ist nicht als sehr leicht, sondern als leicht einzustufen.</w:t>
      </w:r>
    </w:p>
    <w:p>
      <w:r>
        <w:rPr>
          <w:b/>
        </w:rPr>
        <w:t>E. 2.2</w:t>
      </w:r>
    </w:p>
    <w:p>
      <w:r>
        <w:t>Die Vorinstanz hat die Einsatzstrafe für die fahrlässige grobe Verletzung der Verkehrsregeln in Anwendung des Asperationsprinzips um 10 Tagessätze auf ins- gesamt 30 Tagessätze erhöht. Aufgrund des Verschuldensprädikats leicht müsste die Einsatzstrafe in Anwendung des Asperationsprinzips um mehr als 10 Tages- sätze erhöht werden. Zufolge des Verschlechterungsverbots ist jedoch die Erhö- hung um 10 Tagessätze – wie von der Vorinstanz vorgenommen – zu übernehmen. 3. Täterkomponente Schliesslich erweisen sich die Erwägungen der Vorinstanz zu den Täterkom- ponenten als zutreffend, weshalb vollumfänglich auf diese verwiesen werden kann (Urk. 31 S. 17 .). Anlässlich der heutigen Berufungsverhandlung wurde vom Beschuldigten nichts Neues dazu vorgebracht. Diese Ausführungen tragen nichts dazu bei, um von den zutreffenden vorinstanzlichen Erwägungen abzuweichen. Die Täterkomponenten sind demnach neutral zu werten.</w:t>
      </w:r>
    </w:p>
    <w:p>
      <w:r>
        <w:rPr>
          <w:b/>
        </w:rPr>
        <w:t>E. 2.3</w:t>
      </w:r>
    </w:p>
    <w:p>
      <w:r>
        <w:t>Die Vorinstanz hat richtig festgehalten, dass der Anklagesachverhalt zu erstellen und das Augenmerk vorwiegend auf die Frage zu richten sei, ob die Warnblinklichtsignale beim Bahnübergang bereits rot geblinkt und sich die Bahn- schranken bereits gesenkt hätten, als der Beschuldigte auf den Bahnübergang gefahren sei (Urk. 31 S. 6).</w:t>
      </w:r>
    </w:p>
    <w:p>
      <w:r>
        <w:rPr>
          <w:b/>
        </w:rPr>
        <w:t>E. 3</w:t>
      </w:r>
    </w:p>
    <w:p>
      <w:r>
        <w:t>Beweismittel Als Beweismittel liegen zweiprivate Handy-Videoaufzeichnungen(Urk. 3/1-2), die Fotodokumentation der Stadtpolizei Zürich (Urk. 3/2), die Aussagen des Beschuldigten (Urk. 1/1; Urk. 2/1; Urk. 10/1-3; Prot. I S. 6 ff.; Urk. 41) und der Zeugin E._____ und des Zeugen F._____ (Urk. 11/1-2) im Recht. Auf die genann- ten Beweismittel wird im Folgenden einzugehen sein, soweit sie für die Urteilsfin- dung relevant sind.</w:t>
      </w:r>
    </w:p>
    <w:p>
      <w:r>
        <w:t>- 6 -</w:t>
      </w:r>
    </w:p>
    <w:p>
      <w:r>
        <w:rPr>
          <w:b/>
        </w:rPr>
        <w:t>E. 4</w:t>
      </w:r>
    </w:p>
    <w:p>
      <w:r>
        <w:t>Höhe des Tagessatzes Die Vorinstanz hat die Höhe des Tagessatzes angesichts der finanziellen Ver- hältnisse des Beschuldigten (der Beschuldigte ist seit dem Jahr 2018 arbeitslos; er erhält keine IV-Beiträge und lebt von der Sozialhilfe sowie von Ergänzungsleistun- gen) bei Fr. 30.– veranschlagt. Nach den vorliegenden finanziellen Verhältnissen muss es bei der vorinstanzlich festgelegten Tagessatzhöhe von Fr. 30.– sein Be- wenden haben.</w:t>
      </w:r>
    </w:p>
    <w:p>
      <w:r>
        <w:t>- 12 -</w:t>
      </w:r>
    </w:p>
    <w:p>
      <w:r>
        <w:rPr>
          <w:b/>
        </w:rPr>
        <w:t>E. 4.1</w:t>
      </w:r>
    </w:p>
    <w:p>
      <w:r>
        <w:t>Die Vorinstanz hat die theoretischen Grundsätze der richterlichen Beweis- würdigung dargelegt sowie zutreffende Ausführungen zur Glaubwürdigkeit der ein- vernommenen Personen gemacht (Urk. 31 S. 9). Darauf kann verwiesen werden (Art. 82 Abs. 4 StPO).</w:t>
      </w:r>
    </w:p>
    <w:p>
      <w:r>
        <w:rPr>
          <w:b/>
        </w:rPr>
        <w:t>E. 4.2</w:t>
      </w:r>
    </w:p>
    <w:p>
      <w:r>
        <w:t>Ebenfalls hat die Vorinstanz die privaten Videoaufzeichnungen, die Foto- dokumentation der Stadtpolizei Zürich, den Standpunkt des Beschuldigten sowie die Aussagen der Zeugin E._____ und des Zeugen F._____ korrekt und vollständig zusammengefasst. Um Wiederholungen zu vermeiden, kann ebenfalls hierauf ver- wiesen werden (Urk. 31 S. 9 ff.).</w:t>
      </w:r>
    </w:p>
    <w:p>
      <w:r>
        <w:rPr>
          <w:b/>
        </w:rPr>
        <w:t>E. 4.3</w:t>
      </w:r>
    </w:p>
    <w:p>
      <w:r>
        <w:t>Zu Recht ist die Vorinstanz zum Schluss gelangt, dass sich der objektive Sachverhalt erstellen liesse und sich die Einwendungen des Beschuldigten – die Bahnschranken seien defekt gewesen und er haben einen Schwindelanfall erlitten – als Schutzbehauptungen erweisen würden. Die nachfolgenden Erwägun- gen dienen zur Ergänzung und Präzisierung:</w:t>
      </w:r>
    </w:p>
    <w:p>
      <w:r>
        <w:rPr>
          <w:b/>
        </w:rPr>
        <w:t>E. 4.3.1</w:t>
      </w:r>
    </w:p>
    <w:p>
      <w:r>
        <w:t>Auf einer Videoaufzeichnung (Bahnübergang aus der Fahrtrichtung des Beschuldigten; Urk. 3/1/1) ist zu sehen, dass die roten Wechselblinksignale leuch- teten, während der Zug einfährt. Die Zeugin E._____ gab ebenfalls an, dass die Wechselblinksignale geblinkt hätten, als die Schranke runtergegangen sei (Urk. 11/1 F/A 6). Wenn die Vorinstanz festhält, dass es gerichtsnotorisch sei, dass bei einem einfahrenden Zug die Wechselblinklichtsignale bei einem Bahnübergang zuerst blinken resp. warnen, bevor sich Bahnschranken langsam zu schliessen beginnen, so ist dem ohne Weiteres zuzustimmen. Die Wechselblinksignale haben zweifelsfrei funktioniert und waren sichtbar. Sodann sind die Bahnschranken unbe- strittenermassen hinuntergegangen.</w:t>
      </w:r>
    </w:p>
    <w:p>
      <w:r>
        <w:rPr>
          <w:b/>
        </w:rPr>
        <w:t>E. 4.3.2</w:t>
      </w:r>
    </w:p>
    <w:p>
      <w:r>
        <w:t>Die vom Beschuldigten beschriebene Berührung seines Personenwagens durch die Bahnschranke verdeutlicht, dass er bereits auf den Bahnübergang gefahren ist, als die erste Schranke (aus seiner Fahrtrichtung gesehen) derart tief stand, so dass eine Berührung am Auto überhaupt möglich war. Dies deckt sich im Übrigen auch mit der Beobachtung der Zeugin E._____, die angab, dass der</w:t>
      </w:r>
    </w:p>
    <w:p>
      <w:r>
        <w:t>- 7 - Beschuldigte auf den Bahnübergang gefahren sei, als die Schranken bereits nach unten gegangen seien (Urk. 11/1 F/A 15). Nachvollziehbar ist sodann die vorinstanzliche Feststellung, wonach beim Auffahren auf den Bahnübergang die zweite (vordere) Schranke bereits so weit unten gewesen sei, so dass der Beschul- digte den Bahnübergang nicht mehr habe verlassen können (Urk. 31 S. 10). Der Beschuldigte war zwischen den Schranken blockiert, ansonsten er den Bahnüber- gang ohne Weiteres hätte überqueren können.</w:t>
      </w:r>
    </w:p>
    <w:p>
      <w:r>
        <w:rPr>
          <w:b/>
        </w:rPr>
        <w:t>E. 4.3.3</w:t>
      </w:r>
    </w:p>
    <w:p>
      <w:r>
        <w:t>Das Vorbringen des Beschuldigten, es habe technische Probleme bei den Bahnschranken gegeben, weil diese nicht gleichzeitig runtergegangen seien (vgl. Prot. I S. 8), zielt ins Leere. Tatsache ist, dass der Beschuldigte während des Blinkens der Wechselblinksignale sowie bei herabsenkenden Bahnschranken auf das Bahngeleis gefahren ist. Er tat dies spät, so dass die Bahnschranken bereits derart gesenkt waren und ein Wegfahren (nach vorne und nach hinten) nicht mehr möglich war.</w:t>
      </w:r>
    </w:p>
    <w:p>
      <w:r>
        <w:rPr>
          <w:b/>
        </w:rPr>
        <w:t>E. 4.4</w:t>
      </w:r>
    </w:p>
    <w:p>
      <w:r>
        <w:t>Korrekt sind die vorinstanzlichen Ausführungen auch zum subjektiven Sach- verhalt (Urk. 31 S. 11 f.). Es sind keinerlei Hinweise vorhanden, dass der Beschul- digte vorsätzlich gehandelt hätte. Dass er die Wechselblinklichtsignale nicht beach- tet hat, mag zutreffen. Hingegen ist es nun aber gerade die Pflicht eines Fahrzeug- fahrers, beim Auffahren auf einem Bahnübergang die Warnsignalisation genug früh zu prüfen. Indem er dies nicht getan hat, bzw. indem er das Warnsignal ignoriert hat, handelte der Beschuldigte als Fahrzeuglenker pflichtwidrig unvorsichtig.</w:t>
      </w:r>
    </w:p>
    <w:p>
      <w:r>
        <w:rPr>
          <w:b/>
        </w:rPr>
        <w:t>E. 4.5</w:t>
      </w:r>
    </w:p>
    <w:p>
      <w:r>
        <w:t>Betreffend den objektiven Sachverhalt der Störung von Betrieben im Dienst der Allgemeinheit hat die Vorinstanz festgehalten, dass sich aufgrund der Video- aufzeichnungen und den Aussagen der zwei Zeugen sowie den teilweisen Aus- sagen des Beschuldigten erstellen liesse, dass der Beschuldigte mit seinem Personenwagen zwischen den sich senkenden Bahnschranken stecken geblieben sei, den Personenwagen daraufhin parallel zur zweiten Bahnschranke abgestellt habe und aus dem Fahrzeug ausgestiegen sei. Nachdem er den Gleisbereich ver- lassen habe, sei sein Personenwagen durch den einfahrenden Güterzug erfasst und eine kurze Strecke mitgezogen worden. Dadurch sei ein Sachschaden am Zug, am Personenwagen und an der Bahnschranke entstanden und der Güterzug sei an</w:t>
      </w:r>
    </w:p>
    <w:p>
      <w:r>
        <w:t>- 8 - der Weiterfahrt gehindert worden (Urk. 31 S. 11). Diese Ausführungen sind zutref- fend und können so übernommen werden. Ergänzend ist anzufügen, dass sich der Sachverhalt ebenfalls durch den Spurentechnischen Rapport (Fotodokumentation) untermauern lässt (Urk. 3/2).</w:t>
      </w:r>
    </w:p>
    <w:p>
      <w:r>
        <w:rPr>
          <w:b/>
        </w:rPr>
        <w:t>E. 4.6</w:t>
      </w:r>
    </w:p>
    <w:p>
      <w:r>
        <w:t>Beim subjektiven Sachverhalt gilt das Vorherige (E. II.4.4) und es kann auf die zutreffenden Ausführungen der Vorinstanz verwiesen werden (Urk. 31 S. 12). Dem Beschuldigten kann kein vorsätzliches Handeln vorgeworfen werden. Sein Handeln ist vielmehr seiner pflichtwidrigen Unvorsichtigkeit zuzuschreiben.</w:t>
      </w:r>
    </w:p>
    <w:p>
      <w:r>
        <w:rPr>
          <w:b/>
        </w:rPr>
        <w:t>E. 4.7</w:t>
      </w:r>
    </w:p>
    <w:p>
      <w:r>
        <w:t>In Übereinstimmung mit der Vorinstanz kann nach dem Gesagten festgehal- ten werden, dass der Anklagesachverhalt sowohl in objektiver als auch subjektiver Hinsicht rechtsgenügend erstellt ist. III. Rechtliche Würdigung 1. Fahrlässige grobe Verletzung der Verkehrsregeln</w:t>
      </w:r>
    </w:p>
    <w:p>
      <w:r>
        <w:rPr>
          <w:b/>
        </w:rPr>
        <w:t>E. 5</w:t>
      </w:r>
    </w:p>
    <w:p>
      <w:r>
        <w:t>Vollzug Die Vorinstanz hat sich mit der Frage des Vollzugs der Strafe auseinanderge- setzt. Es kann vollumfänglich auf die entsprechenden Ausführungen verwiesen werden (Urk. 31 S. 18). Der Beschuldigte ist Ersttäter. Dementsprechend ist der Vollzug der Geldstrafe aufzuschieben und die Probezeit auf 2 Jahre festzusetzen.</w:t>
      </w:r>
    </w:p>
    <w:p>
      <w:r>
        <w:rPr>
          <w:b/>
        </w:rPr>
        <w:t>E. 6</w:t>
      </w:r>
    </w:p>
    <w:p>
      <w:r>
        <w:t>Verbindungsbusse</w:t>
      </w:r>
    </w:p>
    <w:p>
      <w:r>
        <w:rPr>
          <w:b/>
        </w:rPr>
        <w:t>E. 6.1</w:t>
      </w:r>
    </w:p>
    <w:p>
      <w:r>
        <w:t>Die Vorinstanz hat dem Beschuldigten zur Abschreckung eine Verbindungs- busse von Fr. 300.– auferlegt (Urk. 31 S. 18).</w:t>
      </w:r>
    </w:p>
    <w:p>
      <w:r>
        <w:rPr>
          <w:b/>
        </w:rPr>
        <w:t>E. 6.2</w:t>
      </w:r>
    </w:p>
    <w:p>
      <w:r>
        <w:t>An der von der Vorinstanz festgesetzten Verbindungsbusse ist zufolge der vorliegenden Schnittstellenproblematik (zwischen der unbedingten Busse [für Übertretungen] und der bedingten Geldstrafe [für Vergehen]) grundsätzlich festzu- halten. Die vorinstanzlich festgelegte Höhe der Verbindungsbusse ist jedoch zu korrigieren.</w:t>
      </w:r>
    </w:p>
    <w:p>
      <w:r>
        <w:rPr>
          <w:b/>
        </w:rPr>
        <w:t>E. 6.3</w:t>
      </w:r>
    </w:p>
    <w:p>
      <w:r>
        <w:t>Gemäss bundesgerichtlicher Rechtsprechung kann eine Verbindungsbusse höchstens einen Fünftel bzw. 20 % der in der Summe schuldangemessenen Sank- tion – bestehend aus einer bedingt ausgesprochenen Hauptstrafe kombiniert mit einer Verbindungsbusse – betragen. Die Verbindungsbusse soll nicht etwa zu einer Straferhöhung führen oder eine zusätzliche Strafe ermöglichen. Sie erlaubt ledig- lich innerhalb der schuldangemessenen Strafe eine täter- und tatangemessene Sanktion, wobei die bedingte Hauptstrafe und die damit verbundene Busse in ihrer Summe schuldangemessen sein müssen (BGE 149 IV 321 E. 1.3.1. f.).</w:t>
      </w:r>
    </w:p>
    <w:p>
      <w:r>
        <w:rPr>
          <w:b/>
        </w:rPr>
        <w:t>E. 6.4</w:t>
      </w:r>
    </w:p>
    <w:p>
      <w:r>
        <w:t>Vorliegend wird eine Strafe von 30 Tagessätzen zu Fr. 30.– als schuldange- messen erachtet (vgl. E. IV.2.-4.). Die maximale Verbindungsbusse liegt demnach bei Fr. 180.– (30 x 30 = 900 / 100 x 20 = 180). Die von der Vorinstanz ausgespro- chene Verbindungsbusse in der Höhe von Fr. 300.– befindet sich nicht mehr im Rahmen der zulässigen 20 %.</w:t>
      </w:r>
    </w:p>
    <w:p>
      <w:r>
        <w:rPr>
          <w:b/>
        </w:rPr>
        <w:t>E. 6.5</w:t>
      </w:r>
    </w:p>
    <w:p>
      <w:r>
        <w:t>Damit die Verbindungsbusse nicht zu einer Straferhöhung führt, ist die be- dingte Hauptgeldstrafe von 30 Tagessätzen zu Fr. 30.– anzupassen. Eingedenk</w:t>
      </w:r>
    </w:p>
    <w:p>
      <w:r>
        <w:t>- 13 - der Verbindungsbusse von Fr. 180.– ist die Hauptgeldstrafe auf 24 Tagessätze zu Fr. 30.– zu reduzieren.</w:t>
      </w:r>
    </w:p>
    <w:p>
      <w:r>
        <w:rPr>
          <w:b/>
        </w:rPr>
        <w:t>E. 7</w:t>
      </w:r>
    </w:p>
    <w:p>
      <w:r>
        <w:t>Schriftliche Mitteilung im Dispositiv an den Beschuldigten (versandt)  die Staatsanwaltschaft II des Kantons Zürich (versandt)  das Strassenverkehrsamt des Kantons Zürich (zur Kenntnisnahme),  das Bundesamt für Verkehr (zur Kenntnisnahme)  sowie in vollständiger Ausfertigung an den Beschuldigten  die Staatsanwaltschaft II des Kantons Zürich  und nach unbenütztem Ablauf der Rechtsmittelfrist bzw. Erledigung allfälliger Rechtsmittel an</w:t>
      </w:r>
    </w:p>
    <w:p>
      <w:r>
        <w:t>- 15 - die Vorinstanz  die Koordinationsstelle VOSTRA/DNA mit Formular A  das Strassenverkehrsamt des Kantons Zürich, Administrativmassnah-  men (PIN …) die Schweizerische Sicherheitsuntersuchungsstelle SUST  das Migrationsamt des Kantons Zürich. </w:t>
      </w:r>
    </w:p>
    <w:p>
      <w:r>
        <w:rPr>
          <w:b/>
        </w:rPr>
        <w:t>E. 7.1</w:t>
      </w:r>
    </w:p>
    <w:p>
      <w:r>
        <w:t>Der Beschuldigte ist nach Würdigung aller relevanten Umstände mit einer Geldstrafe von 24 Tagessätzen zu Fr. 30.– sowie mit einer Busse von Fr. 180.– zu bestrafen.</w:t>
      </w:r>
    </w:p>
    <w:p>
      <w:r>
        <w:rPr>
          <w:b/>
        </w:rPr>
        <w:t>E. 7.2</w:t>
      </w:r>
    </w:p>
    <w:p>
      <w:r>
        <w:t>Der Vollzug der Geldstrafe ist aufzuschieben und die Probezeit auf zwei Jahre festzusetzen. Die Busse ist zu bezahlen. Bezahlt der Beschuldigte die Busse schuldhaft nicht, so hat an deren Stelle eine Ersatzfreiheitsstrafe von 2 Tagen zu treten. V. Kosten und Entschädigung 1. Ausgangsgemäss wird der Beschuldigte für das Vorverfahren und das erstin- stanzliche Gerichtsverfahren kostenpflichtig (Art. 426 Abs. 1 StPO), weshalb ihm die Kosten aufzuerlegen sind. 2. Die Gerichtsgebühr für das Berufungsverfahren ist praxisgemäss auf Fr. 2'500.– festzusetzen. 3.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Der Beschuldigte beantragte einen vollumfänglichen Freispruch (Urk. 32). Diesem Antrag wurde nicht gefolgt und der Beschuldigte unterliegt im Berufungsverfahren vollumfänglich. Daran ändert auch die Korrektur der Hauptgeldstrafe und der Höhe der Verbindungsstrafe nicht. Dem Beschuldigten sind ausgangsgemäss die Kosten des Berufungsverfahrens aufzu- erlegen.</w:t>
      </w:r>
    </w:p>
    <w:p>
      <w:r>
        <w:t>- 14 - Es wird erkannt: 1. Der Beschuldigte A._____ ist schuldig der fahrlässigen groben Verletzung der Verkehrsregeln im Sinne von  Art. 90 Abs. 2 in Verbindung mit Art. 28 SVG, Art. 93 Abs. 2 SSV und Art. 100 Ziff. 1 Abs. 1 SVG sowie der fahrlässigen Störung von Betrieben im Dienste der Allgemeinheit  im Sinne von Art. 239 Ziff. 1 Abs. 1 StGB in Verbindung mit Art. 239 Ziff. 2 StGB. 2. Der Beschuldigte wird bestraft mit einer Geldstrafe von 24 Tagessätzen zu Fr. 30.– sowie mit einer Busse von Fr. 180.–. 3. Der Vollzug der Geldstrafe wird aufgeschoben und die Probezeit auf 2 Jahre festgesetzt. Die Busse ist zu bezahlen. Bezahlt der Beschuldigte die Busse schuldhaft nicht, so tritt an deren Stelle eine Ersatzfreiheitsstrafe von 2 Tagen. 4. Das erstinstanzliche Kostendispositiv (Ziff. 5 und 6) wird bestätigt. 5. Die zweitinstanzliche Gerichtsgebühr wird festgesetzt auf Fr. 2'500.–. 6. Die Kosten des Berufungsverfahrens werden dem Beschuldigten auferlegt.</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30. September 2024 Der Präsident: Der Gerichtsschreiber: lic. iur. B. Amacker MLaw S. Zuber</w:t>
      </w:r>
    </w:p>
    <w:p>
      <w:r>
        <w:t>- 16 -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