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SB240347 vom 16. Mai 2025</w:t>
      </w:r>
    </w:p>
    <w:p>
      <w:r>
        <w:t>ZH Obergericht, 2025-05-16, DE</w:t>
      </w:r>
    </w:p>
    <w:p>
      <w:r>
        <w:rPr>
          <w:b/>
        </w:rPr>
        <w:t xml:space="preserve">Quelle: </w:t>
      </w:r>
      <w:r>
        <w:t>https://mcp.opencaselaw.ch/entscheid/zh_obergericht_SB240347</w:t>
      </w:r>
    </w:p>
    <w:p>
      <w:r>
        <w:t>FR: ZH_OBERGERICHT SB240347 du 16 mai 2025</w:t>
      </w:r>
    </w:p>
    <w:p>
      <w:r>
        <w:t>IT: ZH_OBERGERICHT SB240347 del 16 maggio 2025</w:t>
      </w:r>
    </w:p>
    <w:p>
      <w:pPr>
        <w:pStyle w:val="Heading2"/>
      </w:pPr>
      <w:r>
        <w:t>Erwägungen</w:t>
      </w:r>
    </w:p>
    <w:p>
      <w:r>
        <w:rPr>
          <w:b/>
        </w:rPr>
        <w:t>E. 1</w:t>
      </w:r>
    </w:p>
    <w:p>
      <w:r>
        <w:t>Gegen das eingangs wiedergegebene Urteil der I. Abteilung des Bezirks- gerichtes Bülach vom 1. November 2023 (Urk. 47) meldete die Beschuldigte mit Eingabe vom 3. November 2023 (Datum Poststempel) rechtzeitig Berufung an (Urk. 39). Nach Erhalt der schriftlichen Urteilsbegründung, die der Beschuldigten- seite am 22. Juli 2024 zugestellt wurde (Urk. 46), reichte die Verteidigung am 9. August 2024 (Datum Poststempel) fristgerecht die Berufungserklärung nach (Urk. 50). Die Staatsanwaltschaft III des Kantons Zürich hat auf Anschlussberu- fung ausdrücklich verzichtet (Urk. 53).</w:t>
      </w:r>
    </w:p>
    <w:p>
      <w:r>
        <w:rPr>
          <w:b/>
        </w:rPr>
        <w:t>E. 2</w:t>
      </w:r>
    </w:p>
    <w:p>
      <w:r>
        <w:t>Gemäss Art. 404 Abs. 1 StPO überprüft das Berufungsgericht das erstin- stanzliche Urteil nur in den angefochtenen Punkten. Nach Massgabe der Beru- fungserklärung beantragt die Beschuldigte einen Freispruch von Schuld und Strafe sowie eine Neuregelung der Kostenfolgen und die Zusprechung einer Ge- nugtuung für die erstandene Haft. Unbestritten gelassen hat sie hingegen die Ein- ziehung und Vernichtung der Betäubungsmittel und des Spurenmaterials sowie die Herausgabe ihres Mobiltelefongeräts gemäss den Dispositivziffern 5 und 6 des erstinstanzlichen Urteils (Urk. 50; Urk. 58). Nachdem gegen den Entscheid der Vorinstanz sonst von keiner Partei ein Rechtsmittel eingelegt wurde, gilt das erstinstanzliche Urteil in diesen Punkten als unangefochten. Die daraus resultie- rende Teilrechtskraft ist deshalb mittels Beschluss vorab festzustellen (BSK StPO II-BÄHLER, Art. 402 N 2). Im verbleibenden Umfang steht der Entscheid der Vorinstanz im Appellationsprozess demgegenüber zur Disposition.</w:t>
      </w:r>
    </w:p>
    <w:p>
      <w:r>
        <w:rPr>
          <w:b/>
        </w:rPr>
        <w:t>E. 2.1</w:t>
      </w:r>
    </w:p>
    <w:p>
      <w:r>
        <w:t>Für den Berufungsprozess ist die Entscheidgebühr auf Fr. 3'600.– zu ver- anschlagen (§ 16 Abs. 1 GebV OG in Verbindung mit § 14 Abs. 1 lit. b GebV OG).</w:t>
      </w:r>
    </w:p>
    <w:p>
      <w:r>
        <w:rPr>
          <w:b/>
        </w:rPr>
        <w:t>E. 2.2</w:t>
      </w:r>
    </w:p>
    <w:p>
      <w:r>
        <w:t>Im Rechtsmittelverfahren sind die Kosten nach Obsiegen und Unterliegen aufzuerlegen (Art. 428 Abs. 1 StPO). Ob bzw. inwieweit eine Partei im Sinne die- ser Bestimmung materiell obsiegt oder unterliegt, hängt davon ab, in welchem Ausmass ihre vor der zweiten Instanz gestellten Anträge gutgeheissen werden (Urteil des Bundesgerichtes 6B_791/2023 vom 23. August 2023 E. 1.4 m.w.H.). Vorliegend dringt die Beschuldigte mit ihrer Berufung, die auf Freispruch von Schuld und Strafe gerichtet ist, nicht durch. Sie erreicht lediglich, dass im Gegen- satz zum angefochtenen Entscheid beim Schuldspruch wegen Gehilfenschaft zu mehrfacher qualifizierter Widerhandlung gegen das Betäubungsmittelgesetz nicht mehr auf Mehrfachbegehung, sondern auf Einfachbegehung zu erkennen ist, und dass die Tatbestandsvariante des Besitzes (Art. 19 Abs. 1 lit. d BetmG) wegfällt, ebenso dass das Strafmass etwas tiefer angesetzt wird (18 statt 22 Monate Frei-</w:t>
      </w:r>
    </w:p>
    <w:p>
      <w:r>
        <w:t>- 25 - heitsstrafe), was freilich eine derart unwesentliche Abänderung des erstinstanzli- chen Urteils darstellt, dass sie bei der Kostenverteilung keine Rolle spielen kann (Art. 428 Abs. 2 lit. b StPO). Entsprechend sind der Beschuldigten die Berufungs- kosten in vollem Umfang zu überbinden.</w:t>
      </w:r>
    </w:p>
    <w:p>
      <w:r>
        <w:rPr>
          <w:b/>
        </w:rPr>
        <w:t>E. 2.3</w:t>
      </w:r>
    </w:p>
    <w:p>
      <w:r>
        <w:t>Die amtliche Verteidigung macht für ihre Aufwendungen und Barauslagen im Berufungsprozess Fr. 8'549.85 (inkl. Barauslagen und MWST) geltend (Urk. 56). Das geforderte Honorar steht nach Anpassung an der tatsächlichen Dauer der Berufungsverhandlung im Einklang mit den Ansätzen der Anwaltsge- bührenverordnung und erweist sich grundsätzlich als angemessen. Mithin ist die amtliche Verteidigerin für das zweitinstanzliche Verfahren mit einem Betrag von Fr. 8'100.– (inkl. Barauslagen und 8.1 % MWST) aus der Gerichtskasse zu ent- schädigen. In Anwendung von Art. 135 Abs. 4 aStPO (in der bis zum 31. Dezem- ber 2023 geltenden Fassung) ist diesbezüglich jedoch eine Rückzahlungspflicht der Beschuldigten vorzubehalten. 3. Für die von der Beschuldigen geltend gemachte Genugtuung wegen Überhaft (Urk. 31 S. 16; Prot. I. S. 73; Urk. 58 S. 21) bleibt schliesslich angesichts des Prozessausgangs kein Raum. Demzufolge erübrigen sich weitere Erörterun- gen dazu. Es wird beschlossen:</w:t>
      </w:r>
    </w:p>
    <w:p>
      <w:r>
        <w:rPr>
          <w:b/>
        </w:rPr>
        <w:t>E. 3</w:t>
      </w:r>
    </w:p>
    <w:p>
      <w:r>
        <w:t>Im Rahmen des Berufungsverfahrens wurden von keiner Seite Vorfragen aufgeworfen oder Beweisanträge gestellt. Demgemäss erweist sich die Sache als spruchreif, wobei bereits an dieser Stelle darauf hinzuweisen ist, dass sich die ur- teilende Instanz nicht mit allen Parteistandpunkten einlässlich auseinandersetzen und jedes einzelne Vorbringen ausdrücklich widerlegen muss. Vielmehr kann sich das Berufungsgericht auf die für seinen Entscheid wesentlichen Gesichtspunkte beschränken (BGE 147 IV 409 E. 5.3.4; 146 IV 297 E. 2.2.7; 141 IV 249 E. 1.3.1 m.w.H.; Urteile des Bundesgerichtes 7B_611/2024 vom 13. November 2024 E. 4.2.2; 6B_1135/2022 vom 21. September 2023 E. 3.2.3). III. Sachverhalt 1. Gemäss Anklageschrift wird der Beschuldigten im Wesentlichen vorge- worfen, sich der Gehilfenschaft zur mehrfachen qualifizierten Widerhandlung ge- gen das Betäubungsmittelgesetz schuldig gemacht zu haben, indem sie die von ihr im Lagerhaus "B._____" im C._____ angemieteten Lagerboxen dem Mitbe- schuldigten D._____ zur Verfügung gestellt habe, der darin eine Reisetasche ge- lagert habe, die nebst persönlichen Sachen sowie Bargeld und Streckmittel auch Betäubungsmittel (namentlich 1'974 g Heroingemisch mit einem Wirkstoffgehalt</w:t>
      </w:r>
    </w:p>
    <w:p>
      <w:r>
        <w:t>- 6 - von 17.7 % bis 30.7 %, entsprechend 522 g reinem Heroinhydrochlorid, 660 g Ko- kaingemisch mit einem Wirkstoffgehalt von 92 % bis 95 %, entsprechend 543 g reinem Cocainhydrochlorid, sowie 56.6 g MDMA mit einem Wirkstoffgehalt von 79.7 % bzw. 20 %, entsprechend 38.2 g MDMA-Base) enthalten habe. Gegen Ende Oktober 2021 sei die Beschuldigte dann vom Bruder des (inzwischen in Un- tersuchungshaft genommenen) Mitbeschuldigten telefonisch kontaktiert und auf- gefordert worden, die Reisetasche herauszugeben, worauf sie veranlasst habe, dass ihm die Passwörter und die Schlüssel für die Lagerräumlichkeiten überge- ben werden. In der Folge habe dieser die Drogen abgeholt und sei am 31. Okto- ber 2021 zusammen mit seiner Begleiterin mit der Bahn und dem Taxi bis nach E._____ (Deutschland) gefahren, wo die beiden von Beamten des Zollfahndungs- amtes F._____ kontrolliert und verhaftet worden seien (Urk. D1/19/28 S. 2 ff.). 2. Die Beschuldigte bestreitet den Anklagesachverhalt. Sie macht geltend, nicht gewusst zu haben, dass sich in der Tasche des Mitbeschuldigten, die in ih- rem Lagerraum deponiert war, Drogen befunden haben (vgl. Urk. D1/19/26 F10; Prot. I S. 59).</w:t>
      </w:r>
    </w:p>
    <w:p>
      <w:r>
        <w:rPr>
          <w:b/>
        </w:rPr>
        <w:t>E. 3.1</w:t>
      </w:r>
    </w:p>
    <w:p>
      <w:r>
        <w:t>Die Vorinstanz ist nach Prüfung der für die Anwendung der Härtefallklau- sel relevanten Faktoren im Ergebnis zu Recht zum Schluss gekommen, dass die Voraussetzungen für ein bei einer Katalogtat ohnehin nur ausnahmsweises Abse- hen von einer Landesverweisung nicht gegeben sind (Urk. 47 S. 40 f.). So hat sie richtigerweise festgestellt, dass die Beschuldigte bereits seit über 14 Jahren in der</w:t>
      </w:r>
    </w:p>
    <w:p>
      <w:r>
        <w:t>- 21 - Schweiz lebt. Hierzu ist allerdings relativierend anzufügen, dass dies bedeutet, dass die Beschuldigte umgekehrt ihre Kindheit und Schulzeit in Bulgarien ver- bracht hat und dass nach der bundesgerichtlichen Rechtsprechung auch eine lange Aufenthaltsdauer für sich allein keinen Härtefall zu begründen vermag (BGE 146 IV 105 E. 3.4.4 m.w.H.). Nicht zu verkennen ist sodann, dass sich die Beschuldigte abgesehen von ihrer hier zu beurteilenden Delinquenz strafrechtlich nie etwas zu Schulden kommen liess und praktisch durchgehend erwerbstätig war, was es ihr ermöglichte, sich ihren Lebensunterhalt zum allergrössten Teil selbstständig zu finanzieren, ohne dass sie sich dafür hätte verschulden müssen (Urk. D1/3/5 F13 ff.; Urk. D1/19/26 F15; Prot. I S. 51 f.; Prot. II S. 7 ff., S. 10 f.). So sehr ihr Arbeitswille und ihre bisher gesetzeskonforme Lebensführung zweifel- los zu honorieren sind, ist dem entgegen zu halten, dass sie hierzulande weder über Familienangehörige verfügt noch mit sonst wem engere soziale Kontakte pflegt (Prot. I S. 49 f., S. 51; Prot. II S. 8, S. 11). Demgemäss bleibt festzuhalten, dass die Beschuldigte in der Schweiz keine intensive, über eine normale Integra- tion hinausgehende Beziehungen beruflicher oder gesellschaftlicher Natur unter- hält, wie dies für die Annahme eines Härtefalls erforderlich wäre (Urteile des Bun- desgerichtes 6B_429/2021 vom 3. Mai 2022 E. 3.1.2; 6B_759/2021 vom 16. De- zember 2021 E. 4.2.3). Vielmehr ist zu berücksichtigen, dass ihre Mutter als ein- zig verbliebenes Familienmitglied in Bulgarien lebt, wie sie es vor Vorinstanz noch ausführte (Prot. I S. 49), zuletzt sich aber zum Verbleib derselben ausgeschwie- gen hat (Prot. II S. 9). Ferner besucht die Beschuldigte ihr Heimatland regelmäs- sig und ist zweifellos auch mit der bulgarischen Sprache und Kultur noch bestens vertraut. Ins Gewicht fällt zudem, dass sie nach der Schulzeit in Bulgarien ein Be- rufszertifikat erworben hatte, das es ihr ermöglichte, dort als Pflegerin tätig zu werden, und dass sie als solche in Altersheimen gearbeitet hat, bevor sie wegge- zogen ist (zum Ganzen: Urk. D1/3/5 F20; Prot. I S. 48 ff.). Vor diesem Hintergrund ist sodann nicht ersichtlich, weshalb die heute 51-jährige Beschuldigte aufgrund ihres Alters keine Aussichten auf einen Wiedereinstieg in ihrer Heimat haben sollte, wie es von ihr geltend gemacht wird (Prot. II S. 9). Vielmehr besteht bei die- ser Sachlage die reale Möglichkeit, dass ihr der berufliche und soziale Wiederein- stieg in ihrem Ursprungsland gelingt, wobei der Umstand, dass sich die Wirt-</w:t>
      </w:r>
    </w:p>
    <w:p>
      <w:r>
        <w:t>- 22 - schaftslage in Bulgarien schwieriger als in der Schweiz präsentieren dürfte, eine strafrechtliche Landesverweisung praxisgemäss nicht zu hindern vermag (Urteil des Bundesgerichtes 6B_1314/2019 vom 9. März 2020 E. 2.3.11). Schliesslich stehen auch gesundheitliche Gründe einer Ausschaffung der Beschuldigten nicht im Wege. Zwar leidet sie unter Diabetes und hat eigenen Angaben zufolge Pro- bleme mit ihrem Blutdruck und konsultiert regelmässige einen Psychologen (Prot. I S. 52). Es ist jedoch zu erwarten, dass sie in Bulgarien ebenfalls eine an- gemessene medizinische Versorgung erhält. Eine konkrete Gefahr, dass die Be- schuldigte bei einer Landesverweisung einer ernsthaften, rapiden und irreversi- blen Verschlechterung ihres Gesundheitszustands ausgesetzt wird, die intensives Leiden oder eine wesentliche Verringerung der Lebenserwartung nach sich zieht, was nach der bundesgerichtlichen Rechtsprechung Voraussetzung wäre, um ei- nen Härtefall anzunehmen (BGE 145 IV 455 E. 9.1; Urteil des Bundesgerichtes 6B_369/2022 vom 30. Juni 2023 E. 2.2.5), ist jedenfalls in keiner Weise auszuma- chen.</w:t>
      </w:r>
    </w:p>
    <w:p>
      <w:r>
        <w:rPr>
          <w:b/>
        </w:rPr>
        <w:t>E. 3.2</w:t>
      </w:r>
    </w:p>
    <w:p>
      <w:r>
        <w:t>Mangels schwerem persönlichem Härtefall erübrigt sich in Übereinstim- mung mit den Erwägungen im erstinstanzlichen Entscheid sodann die Beurtei- lung, ob die aufgezeigten privaten Interessen der Beschuldigten an einem Ver- bleib in der Schweiz das öffentliche Interesse an ihrer Wegweisung überwiegen würde (Urk. 47 S. 41). Daraus ergibt sich, dass die Landesverweisung bei der Be- schuldigten im Einklang mit der gesetzlichen Regelung gemäss Art. 66a StGB steht.</w:t>
      </w:r>
    </w:p>
    <w:p>
      <w:r>
        <w:rPr>
          <w:b/>
        </w:rPr>
        <w:t>E. 3.3</w:t>
      </w:r>
    </w:p>
    <w:p>
      <w:r>
        <w:t>In Würdigung aller aufgeführten Gründe sowie in Anbetracht ihres Ver- schuldens und ihrer persönlichen Verhältnisse ist die Beschuldigte demgemäss</w:t>
      </w:r>
    </w:p>
    <w:p>
      <w:r>
        <w:t>- 20 - mit einer Freiheitsstrafe von 18 Monaten zu bestrafen. In Abweichung von der Vorinstanz sind daran 150 Hafttage (vom 21. Dezember 2021 bis und mit 19. Mai 2022) anzurechnen (Urk. 44 S. 38).</w:t>
      </w:r>
    </w:p>
    <w:p>
      <w:r>
        <w:rPr>
          <w:b/>
        </w:rPr>
        <w:t>E. 4</w:t>
      </w:r>
    </w:p>
    <w:p>
      <w:r>
        <w:t>Richtigerweise ist die Vorinstanz zudem zum Schluss gekommen, dass die Anordnung der Fernhaltemassnahme nicht nur vom innerstaatlichen Recht ge- boten, sondern auch mit den völkerrechtlichen Verpflichtungen gemäss dem Frei- zügigkeitsabkommen mit der EU vereinbar ist, dem die Beschuldigte als bulgari- sche Staatsangehörige grundsätzlich unterstellt ist (Urk. 47 S. 41 f.). Mit ihrer Be- teiligung an der qualifizierten Widerhandlung gegen das Betäubungsmittelgesetz hat diese die öffentliche Ordnung und die Gesundheit vieler Menschen schwer ge- fährdet. Das Bundesgericht hat sich in Bezug auf aufenthaltsbeendende Mass- nahmen bei Drogendelikten stets rigoros gezeigt (vgl. Urteile des Bundesgerich-</w:t>
      </w:r>
    </w:p>
    <w:p>
      <w:r>
        <w:t>- 23 - tes 6B_64/2024 vom 19. November 2024 E. 1.5.3; 6B_285/2024 vom 10. Septem- ber 2024 E. 1.5.1; 6B_1234/2023 vom 11. Juli 2024 E. 3.8.6; 6B_228/2023 vom</w:t>
      </w:r>
    </w:p>
    <w:p>
      <w:r>
        <w:rPr>
          <w:b/>
        </w:rPr>
        <w:t>E. 8</w:t>
      </w:r>
    </w:p>
    <w:p>
      <w:r>
        <w:t>Februar 2024 E. 2.6.2). An die Wahrscheinlichkeit einer künftigen Straffälligkeit sind entsprechend keine allzu hohen Anforderungen zu stellen, wobei aufgrund der unterschiedlichen Zielsetzungen im Straf- und Ausländerrecht von vornherein unbeachtlich bleibt, ob die im Strafprozess ausgesprochene Sanktion bedingt oder unbedingt ausgesprochen wird (Urteile de Bundesgerichtes 6B_1454/2021 vom 26. Mai 2023 E. 5.4.4; 6B_748/2021 vom 8. September 2021 E. 1.3.2). Auch wenn bei der Beschuldigten ein geringfügiges Risiko bestehen mag, erneut mit dem Strafgesetz in Konflikt zu geraten, darf denn auch nicht unbeachtet bleiben, dass sie in Betäubungsmitteldelikte involviert war, obwohl sie selber nie drogen- süchtig gewesen ist. Letztlich war sie somit bei der Lagerung und Vermittlung ver- gleichbar grosser Drogenmengen behilflich, ohne jegliche Rücksicht darauf zu nehmen, dass Tatbeiträge wie ihrer geeignet sind, dem Betäubungsmittelvertrieb Vorschub zu leisten und so potenziell die Gesundheit vieler Menschen aufs Spiel zu setzen. In Anbetracht der Schwere der Gefährdung dieses hochwertigen Rechtsguts, an der die Beschuldigte beteiligt war, erscheint die Gefahr, dass sie künftig wieder die öffentliche Ordnung, Sicherheit oder Gesundheit stören könnte, daher als hinreichend. 5. Zusammengefasst ist die Landesverweisung gemäss dem erstinstanzli- chen Urteil zu bestätigen. Nachdem die Vorinstanz die Wegweisung sodann auf die gesetzliche Minimaldauer von 5 Jahren befristet hat (Urk. 47 S. 42) und einzig die Beschuldigte dagegen Berufung erhoben hat, ist der angefochtene Entscheid auch diesbezüglich zu übernehmen, zumal einer Erhöhung der Massnahmen- dauer ohnehin das strafprozessuale Verschlechterungsverbot (Art. 391 Abs. 2 StPO) entgegenstünde. VII. Beschlagnahmungen / Sicherstellungen 1. Neben der Herausgabe des beschlagnahmten Mobiltelefons hat die Vor- instanz die Einziehung und Vernichtung der polizeilich sichergestellten Betäu- bungsmittel, Spuren und Spurenträger angeordnet (Urk. 47 S. 43 f.), welche un-</w:t>
      </w:r>
    </w:p>
    <w:p>
      <w:r>
        <w:t>- 24 - angefochten geblieben und folgerichtig in Rechtskraft erwachsen sind (s. dazu vorn Erw. II.2.). 2. Gemäss Beschlagnahmeverfügung vom 17. Februar 2023 (Urk. D1/19/4) liegen darüber hinaus verschiedene weitere Gegenstände vor, über welche die Vorinstanz nicht entschieden hat, die auch nach Auffassung der Staatsanwalt- schaft aber einzig als Beweismittel beschlagnahmt wurden und bei denen einer Rückgabe an die Beschuldigte nichts im Wege steht (Urk. 31A S. 49). Dem ent- sprechenden Begehren der Verteidigung vor Vorinstanz, wonach die beschlag- nahmten Gegenstände herauszugeben sind (Urk. 31 S. 16), ist mithin stattzuge- ben. Zusätzlich zum erwähnten Mobiltelefon sind deshalb auch die weiteren in der Beschlagnahmeverfügung aufgeführten Objekte (mehrere Vorhängeschlösser inkl. Schlüssel sowie mehrere Notizzettel und zwei Karten mit den Zugangscodes für die angemieteten Lagerboxen) nach Eintritt der Rechtskraft der Beschuldigten herauszugeben (Art. 103 Abs. 2 StPO). VIII.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