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SB240336 vom 4. April 2025</w:t>
      </w:r>
    </w:p>
    <w:p>
      <w:r>
        <w:t>ZH Obergericht, 2025-04-04, DE</w:t>
      </w:r>
    </w:p>
    <w:p>
      <w:r>
        <w:rPr>
          <w:b/>
        </w:rPr>
        <w:t xml:space="preserve">Quelle: </w:t>
      </w:r>
      <w:r>
        <w:t>https://mcp.opencaselaw.ch/entscheid/zh_obergericht_SB240336</w:t>
      </w:r>
    </w:p>
    <w:p>
      <w:r>
        <w:t>FR: ZH_OBERGERICHT SB240336 du 4 avril 2025</w:t>
      </w:r>
    </w:p>
    <w:p>
      <w:r>
        <w:t>IT: ZH_OBERGERICHT SB240336 del 4 aprile 2025</w:t>
      </w:r>
    </w:p>
    <w:p>
      <w:pPr>
        <w:pStyle w:val="Heading2"/>
      </w:pPr>
      <w:r>
        <w:t>Erwägungen</w:t>
      </w:r>
    </w:p>
    <w:p>
      <w:r>
        <w:rPr>
          <w:b/>
        </w:rPr>
        <w:t>E. 1</w:t>
      </w:r>
    </w:p>
    <w:p>
      <w:r>
        <w:t>Verfahrensgang</w:t>
      </w:r>
    </w:p>
    <w:p>
      <w:r>
        <w:rPr>
          <w:b/>
        </w:rPr>
        <w:t>E. 1.1</w:t>
      </w:r>
    </w:p>
    <w:p>
      <w:r>
        <w:t>Die Vorinstanz bestrafte die Beschuldigte mit einer (bedingten) Geldstrafe von 20 Tagessätzen zu Fr. 40.– (Urk. 47 S. 33 f.). Da einzig die Beschuldigte Berufung gegen das vorinstanzliche Urteil erhob, fällt aufgrund des Verschlechterungsverbots (Art. 391 Abs. 2 StPO) eine strengere Be- strafung von vornherein ausser Betracht. Die Verteidigung verzichtete darauf, sich kritisch mit der vorinstanzlichen Strafzu- messung auseinanderzusetzen (Urk. 58).</w:t>
      </w:r>
    </w:p>
    <w:p>
      <w:r>
        <w:rPr>
          <w:b/>
        </w:rPr>
        <w:t>E. 1.2</w:t>
      </w:r>
    </w:p>
    <w:p>
      <w:r>
        <w:t>Die Vorinstanz hat den für Art. 141 StGB angedrohten Strafrahmen von ei- ner Geldstrafe bis zu einer dreijährigen Freiheitsstrafe korrekt abgesteckt (Urk. 47 E. IV/1.2 S. 28). Vorliegend besteht kein Anlass, den ordentlichen Strafrahmen zu verlassen.</w:t>
      </w:r>
    </w:p>
    <w:p>
      <w:r>
        <w:rPr>
          <w:b/>
        </w:rPr>
        <w:t>E. 1.3</w:t>
      </w:r>
    </w:p>
    <w:p>
      <w:r>
        <w:t>Auch die zutreffenden Erwägungen der Vorinstanz zu den allgemeinen Strafzumessungsregeln (Urk. 49 E. IV/1-2 S. 27 ff.) brauchen nicht wiederholt zu werden.</w:t>
      </w:r>
    </w:p>
    <w:p>
      <w:r>
        <w:t>- 18 - 2. Tatverschulden</w:t>
      </w:r>
    </w:p>
    <w:p>
      <w:r>
        <w:rPr>
          <w:b/>
        </w:rPr>
        <w:t>E. 1.4</w:t>
      </w:r>
    </w:p>
    <w:p>
      <w:r>
        <w:t>Mit Präsidialverfügung vom 24. Juli 2024 wurde der Privatklägerin sowie der Staatsanwaltschaft ein Doppel der Berufungserklärung der Beschuldigten zuge- stellt und Frist angesetzt, um gegebenenfalls Anschlussberufung zu erheben oder ein Nichteintreten auf die Berufung zu beantragen. Gleichzeitig wurde die Beschul- digte unter Hinweis auf ihr Aussageverweigerungsrecht aufgefordert, ein Daten- erfassungsblatt auszufüllen und ihre finanziellen Verhältnisse darzulegen (Urk. 50). Mit Eingabe vom 13. August 2024 beantragte die Staatsanwaltschaft die Be- stätigung des vorinstanzlichen Urteils und verzichtete darauf, Anschlussberufung zu erklären (Urk. 52). Die Privatklägerin liess sich hierzu nicht vernehmen.</w:t>
      </w:r>
    </w:p>
    <w:p>
      <w:r>
        <w:rPr>
          <w:b/>
        </w:rPr>
        <w:t>E. 1.5</w:t>
      </w:r>
    </w:p>
    <w:p>
      <w:r>
        <w:t>Nachdem sich sämtliche Parteien mit der schriftlichen Durchführung des Be- rufungsverfahrens einverstanden erklärt haben (Urk. 52 und 53; die Privatklägerin</w:t>
      </w:r>
    </w:p>
    <w:p>
      <w:r>
        <w:t>- 5 - implizit), wurde mit Präsidialverfügung vom 27. August 2024 das schriftliche Ver- fahren im Sinne von Art. 406 Abs. 2 StPO angeordnet. Zudem wurde der Beschul- digten Frist angesetzt, um Berufungsanträge zu stellen und zu begründen sowie letztmals Beweisanträge zu stellen bzw. die finanzielle Situation der Beschuldigten darzulegen (Urk. 54). Mit Eingabe vom 25. Oktober 2024 liess die Beschuldigte die schriftliche Berufungsbegründung fristgerecht einreichen (Urk. 58; vgl. auch Urk. 59/1-2).</w:t>
      </w:r>
    </w:p>
    <w:p>
      <w:r>
        <w:rPr>
          <w:b/>
        </w:rPr>
        <w:t>E. 1.6</w:t>
      </w:r>
    </w:p>
    <w:p>
      <w:r>
        <w:t>Mit Präsidialverfügung vom 29. Oktober 2024 wurde der Privatklägerin so- wie der Staatsanwaltschaft ein Doppel der Berufungsbegründung der Beschuldig- ten zugestellt und Frist angesetzt, um die Berufungsantwort einzureichen sowie letztmals eigene Beweisanträge zu stellen (Urk. 60). Mit Eingabe vom 4. November 2024 verzichtete die Staatsanwaltschaft explizit auf die Einreichung einer Beru- fungsantwort (Urk. 62); die Privatklägerin liess sich dazu nicht vernehmen. Das Verfahren ist spruchreif.</w:t>
      </w:r>
    </w:p>
    <w:p>
      <w:r>
        <w:rPr>
          <w:b/>
        </w:rPr>
        <w:t>E. 2</w:t>
      </w:r>
    </w:p>
    <w:p>
      <w:r>
        <w:t>Umfang der Berufung</w:t>
      </w:r>
    </w:p>
    <w:p>
      <w:r>
        <w:rPr>
          <w:b/>
        </w:rPr>
        <w:t>E. 2.1</w:t>
      </w:r>
    </w:p>
    <w:p>
      <w:r>
        <w:t>Objektive Tatschwere Hinsichtlich der objektiven Tatschwere ist zu berücksichtigen, dass die Beschul- digte die Katze der Privatklägerin über einen Zeitraum von knapp drei Monaten fütterte und jeden Tag (auch über Nacht) in ihre Wohnung liess, weshalb "C._____" zuletzt überhaupt nicht mehr zur Privatklägerin zurückkehrte. Die Beschuldigte übergab "C._____" sodann am 19. Dezember 2022 dem Zeugen D._____ zur dau- ernden Haltung, ohne dass die Privatklägerin ihr Einverständnis dazu abgegeben hätte oder darüber informiert gewesen wäre. Durch den Entzug des Haustieres, fügte die Beschuldigte der Privatklägerin und deren Familie einen erheblichen Nachteil zu. In Anbetracht des gesamten Spektrums möglicher Sachentziehungen wiegt das Verschulden in objektiver Hinsicht aber noch leicht.</w:t>
      </w:r>
    </w:p>
    <w:p>
      <w:r>
        <w:rPr>
          <w:b/>
        </w:rPr>
        <w:t>E. 2.2</w:t>
      </w:r>
    </w:p>
    <w:p>
      <w:r>
        <w:t>Subjektive Tatschwere Zur subjektiven Tatschwere ist auszuführen, dass die Beschuldigte direktvorsätz- lich handelte. Dabei wusste sie aufgrund der zahlreichen Bemühungen der Privat- klägerin – unter teilweisem Einbezug verschiedener Stellen (Tierschutz und Stadt- polizei Zürich) –, dass diese ihre Katze zurückhaben und keine Fütterung oder Be- herbergung der Katze durch sie wollte. Es ist auch nicht so, dass die Beschuldigte im Sinne des Tierwohls bzw. aus einer eigentlichen Notsituation des Tiers heraus – wie von ihr kolportiert – gehandelt hätte. Insgesamt lässt sich nicht sagen, dass die subjektiven Verschuldensaspekte das objektive Tatverschulden zu relativieren vermögen, weshalb es bei einem noch leichten Tatverschulden der Beschuldigten bleibt.</w:t>
      </w:r>
    </w:p>
    <w:p>
      <w:r>
        <w:rPr>
          <w:b/>
        </w:rPr>
        <w:t>E. 2.3</w:t>
      </w:r>
    </w:p>
    <w:p>
      <w:r>
        <w:t>Einsatzstrafe Das Tatverschulden ist damit als noch leicht zu qualifizieren. Eine Einsatzstrafe im untersten Bereich des Strafrahmens, konkret von 20 Tagessätzen Geldstrafe er- scheint vorliegend als angemessen.</w:t>
      </w:r>
    </w:p>
    <w:p>
      <w:r>
        <w:t>- 19 - 3. Täterkomponenten</w:t>
      </w:r>
    </w:p>
    <w:p>
      <w:r>
        <w:rPr>
          <w:b/>
        </w:rPr>
        <w:t>E. 3</w:t>
      </w:r>
    </w:p>
    <w:p>
      <w:r>
        <w:t>Strafantragserfordernis</w:t>
      </w:r>
    </w:p>
    <w:p>
      <w:r>
        <w:rPr>
          <w:b/>
        </w:rPr>
        <w:t>E. 3.1</w:t>
      </w:r>
    </w:p>
    <w:p>
      <w:r>
        <w:t>Was die persönlichen Verhältnisse der Beschuldigten anbelangt, kann auf die Ausführungen der Vorinstanz (Urk. 47 E. IV/3.2.1 S. 29 f.) verwiesen werden. Neuerungen in Bezug auf die persönlichen Verhältnisse der Beschuldigten haben sich im Berufungsverfahren keine ergeben (vgl. u. a. Urk. 58). Eine gesteigerte Strafempfindlichkeit weist die Beschuldigte nicht auf. Es ist nicht ersichtlich, wes- halb die Lebensgeschichte oder der Werdegang der Beschuldigten Auswirkungen auf die Strafzumessung zeitigen sollten. Aus der Biografie und den persönlichen Verhältnissen der Beschuldigten lassen sich keine strafzumessungsrelevanten Faktoren ableiten.</w:t>
      </w:r>
    </w:p>
    <w:p>
      <w:r>
        <w:rPr>
          <w:b/>
        </w:rPr>
        <w:t>E. 3.2</w:t>
      </w:r>
    </w:p>
    <w:p>
      <w:r>
        <w:t>Auch die Vorstrafenlosigkeit der Beschuldigten (Urk. 48) ist mit der Vor- instanz (Urk. 47 E. IV/3.2.2 S. 30) als strafzumessungsneutral zu bewerten.</w:t>
      </w:r>
    </w:p>
    <w:p>
      <w:r>
        <w:rPr>
          <w:b/>
        </w:rPr>
        <w:t>E. 3.3</w:t>
      </w:r>
    </w:p>
    <w:p>
      <w:r>
        <w:t>Zum Nachtatverhalten kann sodann angeführt werden, dass sich die Be- schuldigte zwar keiner Schuld im rechtlichen Sinne bewusst zu sein scheint, sie sich indessen in Bezug auf den äusseren Sachverhalt teilweise geständig zeigte. Ein aufrichtiges Geständnis in wesentlichen Punkten, welches als Bekundung von Einsicht und Reue bezüglich subjektiver Elemente strafmindernd berücksichtigt werden könnte, liegt damit aber nicht vor. Entsprechend kommt unter dem Titel Nachtatverhalten mit der Vorinstanz (vgl. Urk. 47 E. IV/3.2.3 S. 30) keine Strafmin- derung in Betracht. 4. Zwischenfazit In Anbetracht aller relevanten Strafzumessungsgründe erscheint für die Sachentziehung eine Geldstrafe von 20 Tagessätzen angemessen.</w:t>
      </w:r>
    </w:p>
    <w:p>
      <w:r>
        <w:rPr>
          <w:b/>
        </w:rPr>
        <w:t>E. 3.4</w:t>
      </w:r>
    </w:p>
    <w:p>
      <w:r>
        <w:t>Letztlich bestehen keine relevanten Zweifel daran, dass sich der in der An- klage umschriebene Sachverhalt, so wie von der Vorinstanz erstellt und vorstehend dargelegt (vgl. E. II/3.1), zugetragen hat. 4. Rechtliche Würdigung</w:t>
      </w:r>
    </w:p>
    <w:p>
      <w:r>
        <w:rPr>
          <w:b/>
        </w:rPr>
        <w:t>E. 4</w:t>
      </w:r>
    </w:p>
    <w:p>
      <w:r>
        <w:t>Formelles</w:t>
      </w:r>
    </w:p>
    <w:p>
      <w:r>
        <w:rPr>
          <w:b/>
        </w:rPr>
        <w:t>E. 4.1</w:t>
      </w:r>
    </w:p>
    <w:p>
      <w:r>
        <w:t>Bezüglich der Tatbestandsvoraussetzungen der Sachentziehung im Sinne von Art. 141 StGB kann vorab auf die theoretischen Ausführungen der Vorinstanz verwiesen werden (Urk. 47 E. III/1.1.1-1.1.4 und 1.2.1 S. 23 f. und S. 25 f.). Reka- pitulierend und teilweise ergänzend sind die wichtigsten Aspekte nachfolgend nochmals zusammenzufassen.</w:t>
      </w:r>
    </w:p>
    <w:p>
      <w:r>
        <w:rPr>
          <w:b/>
        </w:rPr>
        <w:t>E. 4.2</w:t>
      </w:r>
    </w:p>
    <w:p>
      <w:r>
        <w:t>Wer der Berechtigten ohne Aneignungsabsicht eine bewegliche Sache ent- zieht und ihr dadurch einen erheblichen Nachteil zufügt, wird mit Freiheitsstrafe bis zu drei Jahren oder Geldstrafe bestraft (Art. 141 StGB). Der Sachbegriff entspricht demjenigen bei den Aneignungsdelikten. Es kommen somit nur körperliche Gegen- stände in Betracht, unabhängig von ihrem Aggregatszustand (fest, flüssig, gas- förmig). Auch ein Tier gilt als Sache. Unerheblich ist, ob die Sache einen wirt- schaftlichen oder auch nur einen affektiven Wert aufweist (BSK StGB-WEISSEN- BERGER, Art. 141 N 4 f. m.H.). Die Tathandlung besteht im Entziehen der beweglichen Sache. Dies bedeutet einerseits die Wegnahme und andererseits das Vorenthalten. Unter Wegnahme wird der Bruch fremden Gewahrsams und die Begründung neuen, nicht notwendig eigenen Gewahrsams verstanden. Zudem fällt darunter auch die eigenmächtige Gebrauchsanmassung. Gleichgültig ist dabei, ob der Entzug der Herrschaftsmacht dauernd oder bloss vorübergehend erfolgt, d.h. der frühere Gewahrsam wieder her-</w:t>
      </w:r>
    </w:p>
    <w:p>
      <w:r>
        <w:t>- 13 - gestellt werden kann oder nicht. Beim Vorenthalten werden grundsätzlich alle Handlungen erfasst, die es dem dinglich Berechtigten erschweren oder verun- möglichen, sein Recht faktisch auszuüben und zwar losgelöst davon, ob der Täter die Sache bereits in seinem Gewahrsam hat oder nicht (BSK StGB-WEISSEN- BERGER, Art. 141 N 14 ff.). Der Berechtigte wird dadurch also in der Ausübung seines Verfügungsrechts über die Sache in wesentlichem Masse gehindert (OFK StGB-DONATSCH, Art. 141 N 4). Als Taterfolg muss der Berechtigten aus der Sachentziehung ein erheblicher Nach- teil erwachsen. Erst dann ist die Tat vollendet. Die Täterin muss durch ihr Verhalten klar den Willen zu erkennen geben, die dinglich Berechtigte an der Ausübung ihres Verfügungsrechts über die Sache jedenfalls in wesentlichem Masse zu hindern. Mit dem Erfordernis der Erheblichkeit des erlittenen Nachteils sollen Bagatellfälle aus- geschlossen werden. Art. 141 StGB erfasst auch Nachteile, die keinen bzw. keinen bezifferbaren Vermögensschaden darstellen. Als Beispiele für Personen, die einen solchen erheblichen immateriellen Nachteil erleiden, werden in der Literatur ge- nannt: die Braut, der am Hochzeitstag das Brautkleid, der Musiker, dem kurz vor dem Auftritt das Instrument oder die behinderte Person, der Prothesen oder notwendige Fortbewegungsmittel entzogen werden (Urteil des Bundesgerichts 7B_267/2022 vom 13. Mai 2024 E. 5.2 mit Verweis auf BSK StGB-WEISSENBERGER, Art. 141 N. 28 und 30, m.w.H.). Schliesslich kann der Entzug von Gegenständen mit blossem Affektionswert (z. B. Liebesbriefe, Andenken an Verstorbene, Bilder usw.) u. U. zu einer emotionalen Beeinträchtigung von erheblichem Gewicht führen (BSK StGB-WEISSENBERGER, Art. 141 N 30).</w:t>
      </w:r>
    </w:p>
    <w:p>
      <w:r>
        <w:rPr>
          <w:b/>
        </w:rPr>
        <w:t>E. 4.3</w:t>
      </w:r>
    </w:p>
    <w:p>
      <w:r>
        <w:t>Bei "C._____" handelt es sich um ein Tier und somit – wie vorstehend dar- gelegt – um eine bewegliche Sache. Dass die Privatklägerin die Eigentümerin von "C._____" – und somit Berechtigte der Sache – im hier relevanten Zeitraum war, ergibt sich aus den Akten (Urk. 24 und 26; vgl. dazu auch Urk. 13). Aus den Akten ergibt sich sodann nicht, dass "C._____" – wie von der Verteidigung vorgebracht (vgl. Urk. 58 S. 3 ff. und S. 7) – seit spätestens September 2022 zum wilden bzw. herrenlosen Tier geworden wäre. Solches ergibt sich – entgegen der Ansicht der Verteidigung (Urk. 58 S. 5 f.) – auch nicht aus den Aussagen des</w:t>
      </w:r>
    </w:p>
    <w:p>
      <w:r>
        <w:t>- 14 - Zeugen E._____, erklärte er doch anlässlich der staatsanwaltschaftlichen Einvernahme vom 21. November 2023, dass die Katze seit ca. einem Jahr – und somit (erst) seit ca. November 2022 – gar nicht mehr nach Hause gekommen sei (Urk. 22 F/A 24). Hinweise darauf, dass er sich zeitlich dabei verschätzt haben könnte – wie von der Verteidigung vorgebracht (Urk. 58 S. 5 f.) –, sind keine er- sichtlich. Auch das weitere Vorbringen der Verteidigung, dass die Privatklägerin nachweislich bereits im Sommer 2020 jegliches Interesse an "C._____" verloren hätte, da sie das (damalige) Einvernahmeprotokoll der Stadtpolizei Zürich nicht un- terzeichnet hätte (Urk. 58 S. 6; vgl. dazu auch Urk. 2 S. 3), verfängt vor dem Hin- tergrund der weiteren von der Privatklägerin hinsichtlich "C._____" – bis ins Jahr 2022 – betriebenen Bemühungen nicht (vgl. dazu E. II/3.3). Solches ergibt sich denn nicht einmal aus den Aussagen der Beschuldigten, welche erklärte, von der Privatklägerin bzw. deren Familie wegen "C._____" immer kontrolliert und ge- stört worden zu sein und dass sie auch im August 2022 noch mit der Privatklägerin über "C._____" gesprochen habe (vgl. Urk. 6 F/A 10 ff.; Urk. 7 F/A 5 ff.; Urk. 23 F/A 2 ff.) Bei Hauskatzen handelt es sich überdies nicht um "gefangene Tiere" oder "gezähmte Tiere" (im Sinne von Art. 719 Abs. 1 und 2 ZGB), sondern um "zahme Tiere", welche im Gegensatz zu den gezähmten Tieren einzig dann herrenlos wer- den, wenn der Besitz an ihnen vom Eigentümer in der Absicht aufgegeben wurde, nicht mehr ihr Eigentümer zu sein (vgl. zu Ganzen SUTTER/SOMM, Schweizerisches Privatrecht, V/1, Eigentum und Besitz, Rz 1022; vgl. auch BSK ZGB- RUSCH/SCHWANDER, Art. 719 N 3). Dies war vorliegend keineswegs der Fall, brachte die Privatklägerin doch durch ihre zahlreichen Bemühungen – wie vorste- hend dargelegt (vgl. E. II/3.3) – klar und wiederholt bis im Dezember 2022 zum Ausdruck, dass sie Eigentümerin der Katze bleiben wollte.</w:t>
      </w:r>
    </w:p>
    <w:p>
      <w:r>
        <w:rPr>
          <w:b/>
        </w:rPr>
        <w:t>E. 4.4</w:t>
      </w:r>
    </w:p>
    <w:p>
      <w:r>
        <w:t>Den vorinstanzlichen Erwägungen, dass die Beschuldigte "C._____" ab Ok- tober 2022 – zusätzlich zum aktiven Anfüttern ab Mai 2022 – zu sich in die Woh- nung liess und "C._____" ab dann auch dort nächtigte, und damit eine Wegnahme bzw. ein Vorenthalten der Katze im Sinne von Art. 141 StGB vorlag, ist zu folgen (vgl. Urk. 47 E. III/.1.1.5 f. S. 24 f.). Dass die Entziehung der Katze von der Privat- klägerin (bzw. deren Familie) auch der von der Beschuldigten intendierte Zweck war, ergibt sich aus den Aussagen der Beschuldigten ("Wie kann man auch eine</w:t>
      </w:r>
    </w:p>
    <w:p>
      <w:r>
        <w:t>- 15 - misshandelte Katze an den selben Ort zurückbringen." [Urk. 9 F/A 4]; dass es sich bei der durch die Beschuldigte kolportierte Misshandlung von "C._____" durch die Privatklägerin bzw. deren Familie um eine Schutzbehauptung handelt, wurde vor- stehend bereits dargelegt [vgl. vorstehend E. II/3.3]). Damit, dass die Beschuldigte – nach dem aktiven Anfüttern von "C._____" über einen Zeitraum von rund fünf Monaten – ab Oktober 2022 zusätzlich zum Füttern jeden Tag in ihre Wohnung liess (auch über Nacht), beeinträchtigte sie die Verfügungsmacht der Privatklägerin über ihre Katze stark (vgl. dazu auch Entscheid des Kantonsgerichts Basel-Land- schaft 470 20 268 vom 1. Februar 2021 E. 6.2 S. 9 [Urk. 38]). Mit dem vorgängigen regelmässigen Anfüttern und der dadurch geschaffenen Zugänglichkeit zu "C._____" lockte die Beschuldigte "C._____" aktiv zu sich. Indem sie "C._____" dann regelmässig bzw. jede Nacht in ihre Wohnung liess, überschritt die Beschul- digte – entgegen der Ansicht der Verteidigung (vgl. Urk. 58 S. 9 f.) – die Schwelle zur Sachentziehung, da sie damit aktiv die Verfügungsmacht der Privatklägerin über die Katze beschränkte (anderes ergibt sich sodann auch aus dem von der Verteidigung zitierten und eingereichten Entscheids des Kantonsgerichts Basel- Landschaft 470 20 268 vom 1. Februar 2021 E. 6.2 S. 9 nicht [Urk. 38 und Urk. 58 S. 9 f.]). Aufgrund des erstellten Sachverhalts steht weiter fest, dass die Beschul- digte "C._____" am 19. Dezember 2022 an den Zeugen D._____ – ohne dazu be- rechtigt gewesen zu sein – zur dauernden Haltung übergab. Durch diese Handlung entzog die Beschuldigte der Privatklägerin "C._____" endgültig und verunmöglichte ihr dadurch, ihre Rechte an ihrer Katze bzw. ihre Verfügungsmacht darüber wahr- zunehmen. Der Wert der Katze "C._____" kann vorliegend objektiv nicht bestimmt werden. Die Privatklägerin bzw. deren Familie bekamen die Katze geschenkt (vgl. Urk. 22 F/A 21). Der Affektionswert eines Haustieres – wie vorliegend der Katze "C._____" – übersteigt aber regelmässig die Geringfügigkeitsschwelle in der Höhe von Fr. 300.– gemäss Art. 172ter Abs. 1 StGB. Das war auch vorliegend nicht an- ders, zeigt sich dies doch bereits durch den erheblichen Aufwand, welcher durch die Privatklägerin hinsichtlich der Katze – zur Wiedererlangung bzw. zum Abhalten der Beschuldigten vom Anfüttern von "C._____" – betrieben wurde. Der hohe Stel- lenwert der Katze innerhalb der Familie ergibt sich sodann auch aus dem Schreiben</w:t>
      </w:r>
    </w:p>
    <w:p>
      <w:r>
        <w:t>- 16 - der Privatklägerin an die Beschuldigte vom 2. Juli 2020 (Urk. 11: "[…] Diese Katzen sind mit Kleinkindern aufgewachsen und unsere Tochter liebt sie. Sie gehören zu unserer Familie. […]"). Dass die Betroffene durch die Wegnahme eines Haustieres – wie im vorliegenden Fall "C._____" – in der Regel einen erheblichen Nacheilt erleidet, darf als gerichtsnotorisch gelten. Nach dem Dargelegten ist ein erheblicher (immaterieller) Nachteil bei der Privatklägerin klar zu bejahen. Entgegen den Aus- führungen der Verteidigung und mit der Vorinstanz schliesst die Bejahung der Er- heblichkeit die Anwendung von Art. 172ter Abs. 1 StGB aus (Urk. 58 S. 12; Urk. 47 E. III/1.1.6 S. 25 mit Verweis auf E. I/2 S. 4 f.; BSK StGB-WEISSENBERGER, Art. 141 N 27 ff. und 37).</w:t>
      </w:r>
    </w:p>
    <w:p>
      <w:r>
        <w:rPr>
          <w:b/>
        </w:rPr>
        <w:t>E. 4.5</w:t>
      </w:r>
    </w:p>
    <w:p>
      <w:r>
        <w:t>In subjektiver Hinsicht ist bei der Sachentziehung Vorsatz erforderlich, der sich insbesondere auch auf den erheblichen Nachteil erstrecken muss, wobei Eventualvorsatz ausreicht. Als negatives Erfordernis darf der Täter nicht mit Aneig- nungsabsicht handeln (BSK StGB-WEISSENBERGER, Art. 141 N 31). Die Beschuldigte fütterte die Katze "C._____" – von welcher sie wusste, dass es sich nicht um ihre Katze, sondern um diejenige der Privatklägerin handelte – ab Mai 2022 bewusst an und nahm sie ab Oktober 2022 in ihre Wohnung. Aufgrund der mehrfachen Bemühungen der Privatklägerin – unter teilweiser Zuhilfenahme des Tierschutzes und der Stadtpolizei Zürich – musste die Beschuldigte spätestens im hier relevanten Zeitraum gewusst haben, dass die Privatklägerin weder mit dem Füttern noch mit dem in die Wohnung nehmen der Katze "C._____" durch sie ein- verstanden war. Auch wusste die Beschuldigte, dass sie nicht zur Übergabe der Katze an eine Drittperson berechtigt war. Dass die Privatklägerin dadurch einen erheblichen Nachteil erlitt, musste der Beschuldigten ebenfalls – aufgrund der vor- stehend dargelegten Umstände – bewusst gewesen sein. Dass die Beschuldigte der Privatklägerin bzw. deren Familie entziehen wollte, ergibt sich sodann auch aus ihren Aussagen, wonach sie die Katze nicht an den Ort der – von ihr kolportierten – Misshandlung zurückgeben wollte (vgl. Urk. 9 F/A 4 und vorstehend E. II/4.4). Eine Aneignungsabsicht für die Katze "C._____" bestand bei der Beschuldigten hin- gegen nicht.</w:t>
      </w:r>
    </w:p>
    <w:p>
      <w:r>
        <w:t>- 17 - Die ausführliche rechtliche Würdigung der Vorinstanz ist somit – mit der Ergänzung, dass die Beschuldigte in allen Teilen direktvorsätzlich handelte – zutreffend (worauf der Vollständigkeit halber verwiesen werden kann [Urk. 47 E. III/1-2 S. 23-27).</w:t>
      </w:r>
    </w:p>
    <w:p>
      <w:r>
        <w:rPr>
          <w:b/>
        </w:rPr>
        <w:t>E. 4.6</w:t>
      </w:r>
    </w:p>
    <w:p>
      <w:r>
        <w:t>Rechtfertigungs- und/oder Schuldausschlussgründe sind – mit der Vorin- stanz (vgl. Urk. 47 E. III/1.3 S. 27) – nicht ersichtlich.</w:t>
      </w:r>
    </w:p>
    <w:p>
      <w:r>
        <w:rPr>
          <w:b/>
        </w:rPr>
        <w:t>E. 4.7</w:t>
      </w:r>
    </w:p>
    <w:p>
      <w:r>
        <w:t>Nach dem Gesagten ist die Beschuldigte der Sachentziehung im Sinne von Art. 141 StGB (Zeitraum: Oktober 2022 bis 19. Dezember 2022) schuldig zu spre- chen. III. Sanktion 1. Ausgangslage, Strafrahmen, Grundsätze der Strafzumessung</w:t>
      </w:r>
    </w:p>
    <w:p>
      <w:r>
        <w:rPr>
          <w:b/>
        </w:rPr>
        <w:t>E. 5</w:t>
      </w:r>
    </w:p>
    <w:p>
      <w:r>
        <w:t>Tagessatzhöhe Hervorzuheben ist, dass das Gericht die Höhe des Tagessatzes nach den persön- lichen und finanziellen Verhältnissen der Täterin im Zeitpunkt des Urteils, nament- lich nach Einkommen und Vermögen, Lebensaufwand, allfälligen Familien- und Un- terstützungspflichten sowie nach dem Existenzminimum bestimmt (Art. 34 Abs. 2</w:t>
      </w:r>
    </w:p>
    <w:p>
      <w:r>
        <w:t>- 20 - StGB). Die Vorinstanz setzte den Tagessatz auf Fr. 40.– fest, unter Berücksichti- gung der zuletzt bekannten Einkommens- und Vermögensverhältnissen der Be- schuldigten sowie deren Lebensaufwand (vgl. Urk. 47 E. IV/4.2 S. 31 mit Verweis auf E. IV/3.2.1 S. 29 f.). Neuerungen in Bezug auf die finanziellen Verhältnisse der Beschuldigten haben sich im Berufungsverfahren keine ergeben (vgl. u. a. Urk. 58). Somit erweist sich die von der Vorinstanz festgesetzte Tagessatzhöhe von Fr. 40.– noch immer als angemessen.</w:t>
      </w:r>
    </w:p>
    <w:p>
      <w:r>
        <w:rPr>
          <w:b/>
        </w:rPr>
        <w:t>E. 6</w:t>
      </w:r>
    </w:p>
    <w:p>
      <w:r>
        <w:t>Vollzug der Geldstrafe Der bedingte Vollzug der Geldstrafe steht nicht zur Diskussion – nur schon wegen des Verschlechterungsverbots, aber auch wegen des Fehlens einer Schlecht- prognose im Sinne von Art. 42 Abs. 1 StGB. Unter diesen Umständen kann der Beschuldigten vorbehaltlos eine gute Prognose gestellt werden, weshalb eine Probezeit von 2 Jahren als angemessen erscheint.</w:t>
      </w:r>
    </w:p>
    <w:p>
      <w:r>
        <w:rPr>
          <w:b/>
        </w:rPr>
        <w:t>E. 7</w:t>
      </w:r>
    </w:p>
    <w:p>
      <w:r>
        <w:t>Fazit Im Ergebnis ist die Beschuldigte mit einer Geldstrafe von 20 Tagessätzen zu Fr. 40.– zu bestrafen, deren Vollzug bedingt aufzuschieben ist bei einer Probezeit von 2 Jahren. IV. Zivilansprüche Die allgemeinen Voraussetzungen und gesetzlichen Grundlagen für die Beurteilung der Schadenersatz- und Genugtuungsforderungen wurden durch die Vorinstanz korrekt wiedergegeben (Urk. 47 E. VI/1 S. 32). Die Vorinstanz verwies die Privatklägerin mit ihrem Schadenersatz- und Genug- tuungsbegehren auf den Weg des Zivilprozesses. Da die Privatklägerin weder Be- rufung noch Anschlussberufung gegen den erstinstanzlichen Entscheid anmeldete bzw. erklärte, scheidet aufgrund des Verschlechterungsverbots eine Zusprechung von Schadenersatz oder einer Genugtuung an die Privatklägerin von vornherein aus. Überdies ist das Schadenersatz- und Genugtuungsbegehren der Privat- klägerin nicht hinreichend begründet, weswegen das Schadenersatz- und Genug-</w:t>
      </w:r>
    </w:p>
    <w:p>
      <w:r>
        <w:t>- 21 - tuungsbegehren im Sinne von Art. 126 Abs. 2 lit. b StPO auf den Weg des Zivil- prozesses zu verweisen ist (so auch die Vorinstanz in Urk. 47 E. VI/2 S. 32 f.). V. Kosten- und Entschädigungsfolgen 1. Kosten der Untersuchung und des erstinstanzlichen Verfahrens Bei diesem Ausgang des Verfahrens ist das erstinstanzliche Kostendispositiv (Dispositivziffer 6 und 7) zu bestätigen (Art. 426 Abs. 1 StPO). 2. Kosten des Berufungsverfahrens / Prozessentschädigung Die Gerichtsgebühr für das Berufungsverfahren ist auf Fr. 3'600.– festzusetzen (§ 16 Abs. 1 i.V.m. § 14 Abs. 1 GebV OG). Die Kosten des Rechtsmittelverfahrens tragen die Parteien nach Massgabe ihres Obsiegens oder Unterliegens (Art. 428 Abs. 1 StPO). Die Beschuldigte unterliegt mit ihren Berufungsanträgen vollumfänglich, weshalb ihr ausgangsgemäss die Kosten des Berufungsverfahrens aufzuerlegen sind. Ausgangsgemäss ist der Be- schuldigten auch keine Prozessentschädigung zuzusprechen (vgl. Urk. 58 S. 12 f. i.V.m. Urk. 59/2). Es wird beschlossen: 1. Es wird festgestellt, dass das Urteil des Bezirksgerichts Zürich vom 5. April 2024 wie folgt in Rechtskraft erwachsen ist: "Es wird erkannt: 1. […] 2. Die Beschuldigte wird für den Zeitraum vom 30. Mai 2020 bis September 2022 vom Vorwurf der Sachentziehung im Sinne von Art. 141 StGB freigesprochen. 3.-7. […]</w:t>
      </w:r>
    </w:p>
    <w:p>
      <w:r>
        <w:rPr>
          <w:b/>
        </w:rPr>
        <w:t>E. 8</w:t>
      </w:r>
    </w:p>
    <w:p>
      <w:r>
        <w:t>[Mitteilungen]</w:t>
      </w:r>
    </w:p>
    <w:p>
      <w:r>
        <w:t>- 22 -</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w:t>
      </w:r>
    </w:p>
    <w:p>
      <w:r>
        <w:t>- 24 -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4. April 2025 Der Präsident: Der Gerichtsschreiber: lic. iur. B. Gut MLaw J. Stegmann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