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SB240179 vom 28. Januar 2025</w:t>
      </w:r>
    </w:p>
    <w:p>
      <w:r>
        <w:t>ZH Obergericht, 2025-01-28, DE</w:t>
      </w:r>
    </w:p>
    <w:p>
      <w:r>
        <w:rPr>
          <w:b/>
        </w:rPr>
        <w:t xml:space="preserve">Quelle: </w:t>
      </w:r>
      <w:r>
        <w:t>https://mcp.opencaselaw.ch/entscheid/zh_obergericht_SB240179</w:t>
      </w:r>
    </w:p>
    <w:p>
      <w:r>
        <w:t>FR: ZH_OBERGERICHT SB240179 du 28 janvier 2025</w:t>
      </w:r>
    </w:p>
    <w:p>
      <w:r>
        <w:t>IT: ZH_OBERGERICHT SB240179 del 28 gennaio 2025</w:t>
      </w:r>
    </w:p>
    <w:p>
      <w:pPr>
        <w:pStyle w:val="Heading2"/>
      </w:pPr>
      <w:r>
        <w:t>Erwägungen</w:t>
      </w:r>
    </w:p>
    <w:p>
      <w:r>
        <w:rPr>
          <w:b/>
        </w:rPr>
        <w:t>E. 1</w:t>
      </w:r>
    </w:p>
    <w:p>
      <w:r>
        <w:t>Verfahrensgang Zum Prozessverlauf bis zum erstinstanzlichen Urteil kann auf die Ausführungen der Vorinstanz verwiesen werden (Urk. 44 S. 3 f.). Gegen das eingangs wieder- gegebene Urteil des Bezirksgerichts Zürich, 10. Abteilung - Einzelgericht, vom 30. Januar 2024 liessen der Beschuldigte am 5. Februar 2024 und die Staatsanwaltschaft am 12. Februar 2024 rechzeitig Berufung anmelden (Urk. 38- 39). Nach Zustellung des begründeten Entscheids am 11. resp. 12. April 2024 (Urk. 43/1-2) gingen die Berufungserklärung des Beschuldigten am 22. April 2024 und jene der Staatsanwaltschaft am 2. Mai 2024 fristgerecht am Obergericht ein (Urk. 46 und 47). Mit Verfügung vom 3. Mai 2024 wurde den Parteien Frist angesetzt, um zu erklären, ob Anschlussberufung erhoben wird oder um begründet ein Nichteintreten auf die Berufung zu beantragen (Urk. 48), worauf implizit verzichtet wurde. Mit Eingabe vom 29. Mai 2024 reichte der Beschuldigte schliesslich aufforderungsgemäss Unterlagen zu seinen aktuellen finanziellen Verhältnissen ein (Urk. 50). Ein neuer Strafregisterauszug wurde am 13. Januar 2025 eingeholt und ergab keine Neuerungen (Urk. 52). Mit Eingabe vom 27. Januar 2025 beantragte die Vertreterin der Privatklägerin die Bestätigung des vorinstanzlichen Urteils und reichte ihre Honorarnote ein (Urk. 54 und Urk. 55). Am 14. August 2024 wurde zur heutigen Berufungsverhandlung vorgeladen (Urk. 51), an welcher der Beschuldigte in Begleitung seines amtlichen Verteidi- gers und der Staatsanwalt teilnahmen (Prot. II S. 3).</w:t>
      </w:r>
    </w:p>
    <w:p>
      <w:r>
        <w:rPr>
          <w:b/>
        </w:rPr>
        <w:t>E. 2</w:t>
      </w:r>
    </w:p>
    <w:p>
      <w:r>
        <w:t>Umfang der Berufung Die Verteidigung ficht das vorinstanzliche Urteil – mit Ausnahme von Ziff. 6, 9 und 11 – vollumfänglich an (Urk. 46 S. 3). Die Staatsanwaltschaft beschränkt ihre Be- rufung auf Ziff. 6 der Vorinstanz (Urk. 47 S. 2). Somit sind heute einzig die Ziffern</w:t>
      </w:r>
    </w:p>
    <w:p>
      <w:r>
        <w:t>- 7 - 9 (Kostenaufstellung) sowie 11 (Entschädigung der amtlichen Verteidigung) be- reits rechtskräftig. Dies ist heute vorab mittels Beschluss festzustellen (Art. 404 Abs. 1 StPO).</w:t>
      </w:r>
    </w:p>
    <w:p>
      <w:r>
        <w:rPr>
          <w:b/>
        </w:rPr>
        <w:t>E. 3</w:t>
      </w:r>
    </w:p>
    <w:p>
      <w:r>
        <w:t>Hinzu kommt, dass die Schilderung der Privatklägerin in den Grundzügen auch von ihrem Begleiter, dem Zeugen C._____, bestätigt wurden. Dieser sagte äusserst zurückhaltend und nur das aus, was er selbst gehört oder gesehen hatte (Urk. 4/1 S. 7 f.). Somit kann davon ausgegangen werden, dass hier keine Ab- sprachen mit der Privatklägerin resp. Gefälligkeitsaussagen vorliegen, ansonsten er zweifellos sämtliche Vorwürfe der Privatklägerin vollumfänglich bestätigt hätte. Dies tat er nicht, sondern führte überzeugend aus, dass er nicht immer in unmit-</w:t>
      </w:r>
    </w:p>
    <w:p>
      <w:r>
        <w:t>- 12 - telbarer Nähe der beiden Streitenden gewesen sei, weil er zunächst noch ver- sucht habe, den Zug zu stoppen, und sich danach zur "Zeittafel" begeben habe, um den nächsten Zug zu eruieren. Als der Streit lauter geworden sei, habe er ge- sehen, wie der Beschuldigte die Privatklägerin von hinten an den Haaren festge- halten resp. am Kopftuch gepackt und nach vorne gestossen habe (Urk. 4/1 S. 4 ff.). Erst da habe er interveniert. Es ist also ohne weiteres erklärbar, wenn er nicht alle Teile des Streits mit eigenen Augen beobachten konnte. Ausserdem erklärte er überzeugend, dass er zwar einige "schlechte" Worte des Beschuldigten ver- standen, aber keine Drohung gehört habe, wobei er den tunesischen Dialekt nicht gut beherrsche (a.a.O. S. 3). Offenkundig nicht zutreffend ist somit die Behaup- tung der Verteidigung, der Zeuge habe nichts mitbekommen, habe nicht von ei- nem Stossen berichtet, resp. dessen Aussagen würden jene der Privatklägerin nicht im Geringsten bestätigen (Urk. 35 S. 7 und 9, Urk. 56 S. 17 f.). Ganz im Ge- genteil. Damit ist irrelevant, dass die Vorinstanz festhielt, den Aussagen des Zeu- gen sei "erhöhte Aufmerksamkeit zu schenken" (Urk. 56 S. 10, Urk. 44 S. 20). Dies war im Übrigen kritisch gemeint, und nicht so, wie die Verteidigung dies ver- standen hat.</w:t>
      </w:r>
    </w:p>
    <w:p>
      <w:r>
        <w:rPr>
          <w:b/>
        </w:rPr>
        <w:t>E. 4</w:t>
      </w:r>
    </w:p>
    <w:p>
      <w:r>
        <w:t>Die Würdigung der vorliegenden Beweismittel ergibt somit klar, dass der ein- geklagte Sachverhalt rechtsgenügend erstellt ist.</w:t>
      </w:r>
    </w:p>
    <w:p>
      <w:r>
        <w:rPr>
          <w:b/>
        </w:rPr>
        <w:t>E. 5</w:t>
      </w:r>
    </w:p>
    <w:p>
      <w:r>
        <w:t>In rechtlicher Hinsicht kann vollumfänglich auf die zutreffenden vorinstanzli- chen Ausführungen verwiesen werden (Urk. 44 S. 25 ff.). Insoweit die Verteidi- gung vor Vorinstanz beim Sachverhalt in den Raum stellte, die Privatklägerin habe offenkundig gar keine Angst gehabt (Urk. 35 S. 6 f.), kann auf die obigen Er- wägungen verwiesen werden. Sie hat hinreichend dargetan, dass sie nach dem Vorfall – selbst noch nach den Ferien – grosse Angst gehabt habe, der Beschul- digte könne ihr etwas antun (Urk. 3/1 S. 4 f. u.a.). Ausserdem hatte der Beschul- digte bereits am 24. Juni 2020 ein Messer gezogen und Polizeibeamte damit be- droht, was doch einiges an krimineller Energie voraussetzt (beigez. Akten Unt. Nr. 2020/10020340, darin Urk. 10 = Urk. 14/4), sodass die Angst der Privatklägerin umso nachvollziehbarer erscheint (Urk. 3/1 S. 5).</w:t>
      </w:r>
    </w:p>
    <w:p>
      <w:r>
        <w:t>- 13 -</w:t>
      </w:r>
    </w:p>
    <w:p>
      <w:r>
        <w:rPr>
          <w:b/>
        </w:rPr>
        <w:t>E. 6</w:t>
      </w:r>
    </w:p>
    <w:p>
      <w:r>
        <w:t>Somit ist der Schuldspruch der Vorinstanz auch zweitinstanzlich zu bestäti- gen. Allerdings ist diesbezüglich zu präzisieren, dass die Vorinstanz in ihrer Be- gründung – entgegen dem Dispositiv und der Anklageschrift – fälschlicherweise von einer mehrfachen Drohung sprach (Urk. 44 S. 28). III. Strafpunkt 1. Hinsichtlich der Strafzumessung kann vollumfänglich auf die umfassenden und zutreffenden Ausführungen der Vorinstanz verwiesen werden (Urk. 44 S. 29 ff.). Diese wurden denn auch von keiner Seite substantiiert kritisiert. Insbe- sondere hat sich die Vorinstanz zu Recht für die Strafart der Freiheitsstrafe ent- schieden und auf die beiden Vorstrafen des Beschuldigten hingewiesen. Diese sind einschlägig und damit erheblich straferhöhend zu werten. Ebenso muss sich die Tatsache, dass der Beschuldigte während einer laufenden Probezeit erneut delinquierte, auswirken (vgl. Urk. 44 S. 33). Zu den persönlichen Verhältnissen des Beschuldigten ist zu ergänzen, dass er seit Januar 2025 20 % als Coiffeur an- gestellt ist, wobei er Fr. 900.– im Monat verdient (Prot. II S. 7 und S. 9; Urk. 57/2). Inzwischen ist er von der Privatklägerin geschieden und sieht seine Kinder wö- chentlich (Prot. II S. 7 und S. 10). Er wohnt in einer Einzimmerwohnung. Diese so- wie die Krankenkasse wird ihm vom Sozialamt bezahlt (Prot. II S. 9 f.). Dies hat keinen erkennbaren Einfluss auf die Strafzumessung. 2. Die Vorinstanz hat sodann zu Recht die mit Strafbefehl vom 4. Juli 2020 be- dingt ausgefällte Freiheitsstrafe von 60 Tagen widerrufen, zumal der Beschuldigte die vorliegenden Taten – wie erwähnt – während der laufenden Probezeit began- gen hat (Urk. 44 S. 33 f.). Der Beschuldigte zeigt sich denn auch weder bezüglich der früheren noch der heutigen Taten irgendwie einsichtig (Prot. I S. 12; Prot. II S. 15 ff.). Zu ergänzen ist, dass der Widerruf gestützt auf Art. 46 Abs. 1 StGB er- folgt. Die von der Vorinstanz ausgefällte Gesamtstrafe von 150 Tagen Freiheits- strafe (abzüglich 11 Tage erstandener Haft, davon 9 Tage im vorliegenden Ver- fahren und 2 Tage im Verfahren, welches zum widerrufenen Strafbefehl führte, vgl. Urk. 44 S. 35) sowie Busse von Fr. 500.– für die Übertretungen erweisen sich als angemessen und sind zu bestätigen. Es besteht grundsätzlich die Möglichkeit,</w:t>
      </w:r>
    </w:p>
    <w:p>
      <w:r>
        <w:t>- 14 - eine Freiheitsstrafe in dieser Höhe in Halbgefangenschaft zu vollziehen, sofern alle weiteren Voraussetzungen gemäss Art. 77b Abs. 1 StGB erfüllt sind. 3. Zum Strafvollzug kann ebenfalls auf die vorinstanzlichen Erwägungen ver- wiesen werden (Urk. 44 S. 36 f.). Das Verhalten des Beschuldigten in der Vergan- genheit lässt nicht darauf schliessen, dass er einsichtig ist und sich nicht mehr zu weiteren Straftaten hinreissen lässt, auch wenn er nunmehr seit Herbst 2022 of- fenbar deliktsfrei lebt. Er liess sich bisher vielmehr weder von einer bedingten Geldstrafe noch von einer bedingten Freiheitsstrafe noch von einigen Hafttagen oder den diversen Kontakten mit den Strafverfolgungsbehörden davon abhalten, die vorliegenden Taten zu begehen. Entgegen der Auffassung der Verteidigung (Urk. 56 S. 24) kann aufgrund dieser Umstände nicht von einer günstigen Prognose ausgegangen werden. Die heute ausgefällte Freiheitsstrafe ist daher zu vollziehen. IV. Landesverweisung 1. Der Beschuldigte ist der Drohung sowie der Tätlichkeiten schuldig zu spre- chen. Demgemäss liegen keine sog. "Katalogtaten" im Sinne von Art. 66a StGB vor und fällt eine obligatorische Landesverweisung ausser Betracht. Umstritten ist die Frage der nicht obligatorischen (fakultativen) Landesverweisung gemäss Art. 66abis StGB. Die Vorinstanz hat auf deren Anordnung verzichtet (Urk. 44 S. 37 ff.). Dass dem Beschuldigten vorliegend keine schwerwiegenden Delikte vorgeworfen werden, ist der fakultativen Landesverweisung indes inhärent, an- sonsten regelmässig die obligatorische zu prüfen wäre. Daraus kann somit nichts zu Gunsten des Beschuldigten abgeleitet werden. Nach dem Willen des Gesetz- gebers soll die fakultative Landesverweisung gerade in Fällen zur Anwendung ge- langen, bei denen es um Gesetzesverstösse von geringerer Schwere, aber dafür um wiederholte Delinquenz geht (Urteile des Bundesgerichts 6B_429/2021 vom 3. Mai 2022 E. 3.1.1; 6B_140/2021 vom 24. Februar 2022 E. 6.2; je mit Hinwei- sen). Die Staatsanwaltschaft beantragt auch im Berufungsverfahren die Anord- nung der fakultativen Landesverweisung (Urk. 58 und Urk. 47). Sie begründet dies zusammenfassend damit, dass die dem Beschuldigten vorgeworfene Straftat</w:t>
      </w:r>
    </w:p>
    <w:p>
      <w:r>
        <w:t>- 15 - schwer wiege, er in der Schweiz nicht verwurzelt sei und es ihm zumutbar sei, den Kontakt zu seinen beiden Kindern während der beschränkten Zeit der Lan- desverweisung mittels geeigneter elektronischer Kommunikationsmittel und Feri- enbesuchen der Kinder in Tunesien aufrechtzuerhalten (Urk. 58). 2. Die nicht obligatorische Landesverweisung stellt eine auf die Zukunft gerich- tete Massnahme – und keine Strafe für vergangenes Fehlverhalten – dar, wes- halb das Verschulden nur eines von vielen Kriterien darstellt. Eine fakultative Lan- desverweisung ist vielmehr immer dann zu verhängen, wenn sie geeignet, erfor- derlich und zumutbar ist. Zu prüfen ist dabei, ob das öffentliche Interesse an der Landesverweisung das private Interesse des Beschuldigten am Verbleib in der Schweiz überwiegt. Die erforderliche Interessenabwägung entspricht den Anfor- derungen gemäss Art. 8 Abs. 2 EMRK an einen Eingriff in das Privat- und Famili- enleben (vgl. Urteile des Bundesgerichts 6B_528/2020 vom 13.8.2020 E. 3.2, 6B_224/2022 vom 16.6.2022 E. 2.2, 7B_148/2022 vom 19.7.2023 E 3.1 ff.). Nach dem Willen des Gesetzgebers soll die fakultative Landesverweisung gerade in Fällen zur Anwendung gelangen, bei denen es um Gesetzesverstösse von gerin- gerer Schwere, aber dafür um wiederholte Delinquenz geht (Urteile des Bundes- gerichts 6B_429/2021 vom 3. Mai 2022 E. 3.1.1; 6B_140/2021 vom 24. Fe- bruar 2022 E. 6.2; je mit Hinweisen). Eine "schwere Straftat", wie vom Staatsan- walt geltend gemacht (Urk. 58 S. 3), liegt nicht vor. 3. Zur Geeignetheit der Massnahme braucht es keine weiteren Erwägungen, da diese auf der Hand liegt. Weilt der Beschuldigte nicht mehr in der Schweiz, kann er hierorts keine weiteren Straftaten mehr begehen. Fraglich ist vorliegend indes, ob die Landesverweisung auch erforderlich ist. Die Vorinstanz hat sich mit den massgeblichen Kriterien zutreffend befasst und die beruflichen, sozialen und familiären Verhältnisse des Beschuldigten richtig aufgeführt (Urk. 44 S. 38 ff.), worauf vollumfänglich verwiesen werden kann. Sie kam zum Schluss, dass von einer erfolgreichen Integration des Beschuldigten in der Schweiz keine Rede sein könne. Wenn die Verteidigung geltend machte, man müsse auch die klaglosen Jahre, die der Beschuldigte in der Schweiz gelebt habe, berücksichtigen (Urk. 35 S. 12), ist dies dahingehend zu relativieren, dass der Beschuldigte seit seiner Ein-</w:t>
      </w:r>
    </w:p>
    <w:p>
      <w:r>
        <w:t>- 16 - reise in der Schweiz im Jahre 2009 bis zur Scheidung am 22. Januar 2014 (Urk. 21, darin Dok. 113) mit seiner – offenbar sehr wohlhabenden (Urk. 21, darin Dok. 24) – Schweizer Ehefrau zusammenlebte. Somit dürften die beruflichen und finanziellen Verhältnisse des Beschuldigte in jener Zeit nicht von Vorrang gewe- sen sein. In dieser Beziehung kam es denn auch nicht zu irgendwelchen polizei- lich dokumentieren Vorfällen. Die Probleme des Beschuldigten begannen offenbar vielmehr ca. im Jahr 2020, als es auch zu den beiden einschlägigen Vorstrafen kam. Heute arbeitet er zwar zu 20 %, ist aber immer noch grösstenteils abhängig von der Sozialhilfe und weist zunehmend auch gesundheitliche Probleme auf (vgl. Urk. 56 S. 23). Immerhin verfügt er inzwischen über eine eigene Wohnung. Sein Deutsch war jedenfalls so schlecht, dass im Jahr 2020 auch auf die Durchführung eines Lernprogramms "Partnerschaft ohne Gewalt" verzichtet werden musste (Urk. 2/2 S. 6 sowie beigez. Akten Unt.Nr. 2020/10021660, am Ende und Urk. 12). Die öffentlichen Interessen des Staates an einer Ausweisung des Beschuldigten sind somit nicht unerheblich. Allerdings ist zu berücksichtigen, dass sich der Be- schuldigte seit dem eingeklagten Vorfall vom Oktober 2022 nichts mehr hat zu- schulden kommen lassen. Seine Delikte basierten allesamt auf der schwierigen Ehesituation, die heute gelöst scheint. Er hat mit der Privatklägerin zwar keinen direkten Kontakt, hat aber jeden Sonntag seine Kinder bei sich und übernachtet manchmal auch von Samstag auf Sonntag mit den Kindern bei einem Freund (Prot. II S. 10 f.; Urk. 56 S. 23). Insoweit hat sich die Lage heute beruhigt. Der Be- schuldigte erscheint daher nicht als typischer Wiederholungs- oder gar Serientä- ter. Das öffentliche Interesse der Schweiz an einer Ausweisung des Beschuldig- ten basiert vorliegend vielmehr auf seiner mangelnden sozialen und beruflichen Integration und – wohl auch künftigen – Abhängigkeit vom Sozialstaat. Dies mag bei einer migrationsrechtlichen Prüfung ausschlaggebend sein, bei einer straf- rechtlichen Landesverweisung geht es jedoch primär um die Sicherung vor weite- ren Straftaten. 4. Schliesslich hat die Vorinstanz zutreffend festgestellt, dass eine Landesver- weisung des Beschuldigten derzeit nicht zumutbar wäre. Der Beschuldigte verfügt hier mit seinen zwei Kindern über eine Kernfamilie, mit denen er – auch gemäss Aussage der Privatklägerin (Urk. 31 S. 2) – regelmässig Kontakt hat. Die elterliche</w:t>
      </w:r>
    </w:p>
    <w:p>
      <w:r>
        <w:t>- 17 - Sorge wurde im Scheidungsverfahren beiden Eltern belassen (vgl. Urk. 58 S. 2). Dass ihm die Kinder sehr wichtig sind, zeigt auch die Aussage des Beschuldigten, es sei ihm egal, wo er lebe, wenn er nur mit seinen Kindern zusammen sein könne (Prot. I S. 18). Auch aus den heutigen Aussagen ergab sich glaubhaft, dass die Kinder für ihn das Wichtigste sind (Prot. II S. 11, S. 14 und S. 26). Diese Kontaktpflege scheint heute einigermassen unproblematisch zu verlaufen. Die Staatsanwaltschaft stellt sich auf den Standpunkt, die Interessen der hier leben- den Kinder könne für die Dauer der beantragten 5 Jahre Landesverweisung auch im Rahmen von fernmündlichen Kontakten oder von Ferienbesuchen gewahrt werden (Urk. 47 S. 2; Urk. 58 S. 4). Dabei ist zu beachten, dass die Kinder heute erst 7 und 8 Jahre alt sind und eine enge Beziehung zum Vater haben. Die Vorinstanz ging daher zu Recht davon aus, dass eine fakultative Landesverwei- sung damit auch einen Eingriff in das Wohl der Kinder bedeuten würde (Urk. 44 S. 41). Vorliegend handelt es sich um einen klaren Grenzfall: Einerseits sind die Delikte des Beschuldigte – und seine Uneinsichtigkeit – keineswegs zu bagatelli- sieren, anderseits wiegen die Interessen des Beschuldigten und insbesondere seiner Kinder an seinem Verbleib in der Schweiz erheblich. Die Interessenabwä- gung zwischen den offenkundigen öffentlichen und erheblichen privaten Interes- sen des Beschuldigten fällt somit knapp zu Gunsten des Beschuldigten aus. 5. Demgemäss ist im Sinne einer letzten Chance auf die Anordnung einer Lan- desverweisung zu verzichten. Wie bereits vor Vorinstanz (Prot. I S. 22) ist der Be- schuldigte an dieser Stelle indes deutlich darauf aufmerksam zu machen, dass weitere Rechtsverstösse – jeglicher Art – in einem nächsten Verfahren zu einer Landesverweisung führen dürften, zumal mit zunehmendem Alter der Kinder auch eine Kontaktpflege mittels elektronischer Mittel oder Ferienbesuchen bejaht wer- den könnte. V. Zivilforderung 1. Die Vorinstanz hat den Beschuldigten gegenüber der Privatklägerin als grundsätzlich haftpflichtig erklärt und diese antragsgemäss zur genauen Feststel- lung des Umfangs des Schadenersatzanspruchs auf den Weg des Zivilprozesses</w:t>
      </w:r>
    </w:p>
    <w:p>
      <w:r>
        <w:t>- 18 - verwiesen (Urk. 44 S. 42). Dies ist ohne weiteres zu bestätigen, wobei offen ge- lassen werden kann, ob überhaupt ein Schaden entstanden ist oder noch ent- steht, da dies gegebenenfalls in einem späteren Zeitpunkt substantiiert dargelegt werden müsste. 2. Weiter hat die Vorinstanz der Privatklägerin eine Genugtuung von Fr. 600.– nebst Zins gemäss Art. 49 Abs. 1 OR zugesprochen (Urk. 44 S. 42 f.). Die Vertre- terin der Privatklägerin beantragt eine Bestätigung dieses Entscheids (Urk. 54). Dies ist jedoch nicht zu bestätigen. Ohne den vorliegenden Vorfall oder die von der Privatklägerin erlittene Angst bagatellisieren zu wollen, erscheint das Mass ei- ner genugtuungsbegründenden immateriellen Unbill hier nicht erreicht. Die im Rahmen einer schwierigen Trennungssituation aus Wut geäusserten Worte und erfolgten Tätlichkeiten sind selbstverständlich strafwürdig und wiegen nicht mehr leicht. Eine "schwere Persönlichkeitsverletzung", wie die Privatklägervertretung vor Vorinstanz vorbrachte (Urk. 31 S. 3), liegt indes noch nicht vor. Ziff. 8 des vorinstanzlichen Urteils ist somit aufzuheben und der Privatklägerin keine Genug- tuung zuzusprechen. VI. Kosten und Entschädigung 1. Ausgangsgemäss ist das erstinstanzliche Kosten- und Entschädigungs-dis- positiv (Ziffern 10, 12 und 13 des vorinstanzlichen Urteils) zu bestätigen (Urk. 44 S. 43 f.). 2. Die Gerichtsgebühr für das Berufungsverfahren ist auf Fr. 3'600.– festzuset- zen (Art. 424 Abs. 1 StPO i.V.m. § 16 Abs. 1 und § 14 GebV OG). Im Beru- fungsverfahren tragen die Parteien die Kosten nach Massgabe ihres Obsiegens oder Unterliegens (Art. 428 Abs. 1 StPO). Der Beschuldigte unterliegt vollumfäng- lich mit seinem Antrag auf Freispruch und entsprechender Regelung der weiteren Urteilspunkte. Zwar obsiegt er bezüglich Ziff. 8 der Vorinstanz, indem er heute nicht mehr verpflichtet wird, der Privatklägerin eine Genugtuung zu bezahlen. Dies vermag sich als reiner Ermessensentscheid in einem Nebenpunkt nicht rele- vant auf die Kostenauflage auszuwirken. Die Staatsanwaltschaft ihrerseits unter- liegt mit dem Antrag auf Ausfällung einer Landesverweisung. Somit sind die Kos-</w:t>
      </w:r>
    </w:p>
    <w:p>
      <w:r>
        <w:t>- 19 - ten des Berufungsverfahrens dem Beschuldigten zu drei Vierteln aufzuerlegen und zu einem Viertel auf die Gerichtskasse zu nehmen. 3. Die amtliche Verteidigung verlangt ein Honorar von Fr. 4'005.75 (inkl. MWST und Barauslagen) für das Berufungsverfahren, wobei sie für die Berufungsver- handlung und Besprechung mit dem Klienten einstweilen 3 Stunden eingesetzt hat (Urk. 53). Dies erweist sich als angemessen. Unter Berücksichtigung der 4 Stunden dauernden Berufungsverhandlung sind ihr Fr. 4'500.– (inkl. 8,1 % MWST) aus der Gerichtskasse auszubezahlen. 4. Die Kosten der amtlichen Verteidigung sind einstweilen vollumfänglich auf die Gerichtskasse zu nehmen, wobei die Nachzahlungspflicht des Beschuldigten im Umfang von drei Vierten vorbehalten bleibt (Art. 135 Abs. 4 StPO). 5. Die Vertreterin der Privatklägerin beantragt, den Beschuldigten zu verpflich- ten, der Privatklägerin für ihre Vertretung im Berufungsverfahren eine Prozessent- schädigung von Fr. 327.60 (inkl. MWST und Barauslagen) zu bezahlen (Urk. 54 und Urk. 55). Der geltend gemachte Betrag erweist sich als angemessen. Die Pri- vatklägerin hat gegenüber der beschuldigten Person Anspruch auf angemessene Entschädigung für notwendige Aufwendungen im Verfahren, wenn sie obsiegt (Art. 422 Abs. 1 lit. a StPO). Da die Privatklägerin hinsichtlich des Schuldpunkts obsiegt, aber betreffend ihren Antrag auf Genugtuung unterliegt, ist der Beschul- digte zu verpflichten, der Privatklägerin B._____ für das Berufungsverfahren eine auf die Hälfte reduzierte Prozessentschädigung von Fr. 165.– (inkl. 8.1 % MWST)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