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SB240031 vom 6. Mai 2024</w:t>
      </w:r>
    </w:p>
    <w:p>
      <w:r>
        <w:t>ZH Obergericht, 2024-05-06, DE</w:t>
      </w:r>
    </w:p>
    <w:p>
      <w:r>
        <w:rPr>
          <w:b/>
        </w:rPr>
        <w:t xml:space="preserve">Quelle: </w:t>
      </w:r>
      <w:r>
        <w:t>https://mcp.opencaselaw.ch/entscheid/zh_obergericht_SB240031</w:t>
      </w:r>
    </w:p>
    <w:p>
      <w:r>
        <w:t>FR: ZH_OBERGERICHT SB240031 du 6 mai 2024</w:t>
      </w:r>
    </w:p>
    <w:p>
      <w:r>
        <w:t>IT: ZH_OBERGERICHT SB240031 del 6 maggio 2024</w:t>
      </w:r>
    </w:p>
    <w:p>
      <w:pPr>
        <w:pStyle w:val="Heading2"/>
      </w:pPr>
      <w:r>
        <w:t>Erwägungen</w:t>
      </w:r>
    </w:p>
    <w:p>
      <w:r>
        <w:rPr>
          <w:b/>
        </w:rPr>
        <w:t>E. 1</w:t>
      </w:r>
    </w:p>
    <w:p>
      <w:r>
        <w:t>Zum Prozessverlauf bis zum erstinstanzlichen Urteil kann auf die Aus- führungen der Vorinstanz verwiesen werden (Urk. 134 S. 8 f.).</w:t>
      </w:r>
    </w:p>
    <w:p>
      <w:r>
        <w:rPr>
          <w:b/>
        </w:rPr>
        <w:t>E. 1.1</w:t>
      </w:r>
    </w:p>
    <w:p>
      <w:r>
        <w:t>Die Gerichtsgebühr für das Berufungsverfahren ist auf Fr. 3'600.– festzu- setzen (Art. 424 Abs. 1 StPO in Verbindung mit § 16 Abs. 1 und § 14 Abs. 1 GebV OG).</w:t>
      </w:r>
    </w:p>
    <w:p>
      <w:r>
        <w:rPr>
          <w:b/>
        </w:rPr>
        <w:t>E. 1.2</w:t>
      </w:r>
    </w:p>
    <w:p>
      <w:r>
        <w:t>Der per 24. April 2024 als amtliche Verteidiger entlassene Rechtsanwalt lic. iur. X2._____ macht für das Berufungsverfahren eine Entschädigung von total Fr. 4'279.35 (inkl. Barauslagen und MwSt.) geltend (Urk. 160). Nachdem das vor- instanzliche Urteil nur hinsichtlich der Sanktion (Zusatzstrafen) und der Landesver- weisung angefochten wurde, ist der Berufungsgegenstand überschaubar. Ausserdem bot das Berufungsverfahren keine besonderen tatsächlichen oder</w:t>
      </w:r>
    </w:p>
    <w:p>
      <w:r>
        <w:t>- 22 - rechtlichen Schwierigkeiten. Vor diesem Hintergrund erscheinen insbesondere die geltend gemachten diversen anwaltlichen Kleinstaufwände (diverse Telefonate und Kurzbriefe an den Beschuldigten) weder angemessen noch notwendig, um eine wirksame Verteidigung des Beschuldigten zu gewährleisten. In Anwendung von § 18 Abs. 1 i.V.m. § 17 Abs. 1 und § 2 AnwGebV erscheint es angemessen, den ehemaligen amtlichen Verteidiger Rechtsanwalt lic. iur. X2._____ mit pauschal Fr. 4'000.– (inkl. Barauslagen und MwSt.) zu entschädigen.</w:t>
      </w:r>
    </w:p>
    <w:p>
      <w:r>
        <w:rPr>
          <w:b/>
        </w:rPr>
        <w:t>E. 1.3</w:t>
      </w:r>
    </w:p>
    <w:p>
      <w:r>
        <w:t>Der amtliche Verteidiger Rechtsanwalt MLaw X1._____ macht für das Beru- fungsverfahren eine Entschädigung von total Fr. 7'082.60 (inkl. Barauslagen und MwSt.) geltend (Urk. 161). Er wurde mit Präsidialverfügung vom 24. April 2024 als amtlicher Verteidiger bestellt. Die von ihm erstellten über 5'000 Aktenkopien er- scheinen angesichts des dargelegten Berufungsumfangs (vgl. Ziff. V.1.2.) weder angemessen noch notwendig, um eine wirksame Verteidigung des Beschuldigten zu gewährleisten. Insbesondere wurden dem Verteidiger die Verfahrensakten zur Einsicht zugestellt, weshalb von ihm erwartet werden konnte, eine Triage der notwendigen und nicht notwendigen Aktenteile vorzunehmen. In Anwendung von § 18 Abs. 1 i.V.m. § 17 Abs. 1 und § 2 AnwGebV erscheint es angemessen, den amtlichen Verteidiger Rechtsanwalt MLaw X1._____ mit pauschal Fr. 5'500.– (inkl. Barauslagen und MwSt.) zu entschädigen. 2. Die Kosten des Berufungsverfahrens tragen die Parteien grundsätzlich nach Massgabe ihres Obsiegens oder Unterliegens (Art. 428 Abs. 1 StPO). Der Beschul- digte obsiegt nur marginal, indem auf das Aussprechen einer Zusatzgeldstrafe verzichtet wird. Im Übrigen unterliegt er mit seinen Anträgen. Es rechtfertigt sich daher die Kosten des Berufungsverfahrens, mit Ausnahme derjenigen der amtlichen Verteidigung, zu 9/10 dem Beschuldigten aufzuerlegen und im übrigen Umfang auf die Gerichtskasse zu nehmen. Die Kosten der amtlichen Verteidigung sind – unter Vorbehalt der Rückzahlungspflicht gestützt auf Art. 135 Abs. 4 StPO – im Umfang 9/10 einstweilen und im Umfang von 1/10 definitiv auf die Gerichtskasse zu nehmen.</w:t>
      </w:r>
    </w:p>
    <w:p>
      <w:r>
        <w:t>- 23 - Es wird beschlossen: 1. Es wird festgestellt, dass das Urteil des Bezirksgerichts Dietikon vom 21. April 2023 wie folgt in Rechtskraft erwachsen ist: "Es wird erkannt: 1. Der Beschuldigte ist schuldig  des gewerbsmässigen und bandenmässigen Diebstahls im Sinne von Art. 139 Ziff. 1 i.V.m. Ziff. 2 und 3 StGB,  des Betrugs im Sinne von Art. 146 Abs. 1 StGB,  der Urkundenfälschung im Sinne von Art. 251 Ziff. 1 StGB,  des mehrfachen Hausfriedensbruchs im Sinne von Art. 186 StGB,  der Hinderung einer Amtshandlung im Sinne von Art. 286 StGB,  der mehrfachen Widerhandlung gegen das Betäubungsmittelgesetz im Sinne von Art. 19a Ziff. 1 BetmG. 2. […] 3. Auf die Ausfällung einer Busse als Zusatzstrafe zu den mit nachfolgenden Strafbefehlen ausgefällten Strafen wird verzichtet:  Strafbefehl des Statthalteramtes Zürich (Aktenzeichen: ST.2021.7958 / DD / AB) vom 7. Juni 2022;  Strafbefehl der Staatsanwaltschaft Limmattal/Albis (Aktenzeichen B-6/2020/10042671) vom 4. Januar 2021;  Strafbefehl der Staatsanwaltschaft Zürich-Limmat (Aktenzeichen: D-3/2022/10014931) vom 27. April 2022;  Strafbefehl der Staatsanwaltschaft Zürich-Limmat (Aktenzeichen D-2/2022/10015476) vom 27. Juni 2022;  Strafbefehl der Staatsanwaltschaft Zürich-Limmat (Aktenzeichen A-5/2022/10030020) vom 19. August 2022;  Strafbefehl der Staatsanwaltschaft Limmattal/Albis (Aktenzeichen: A-4/2022/10031291) vom 8. September 2022;  Strafbefehl der Staatsanwaltschaft Limmattal/Albis (Aktenzeichen: A-5/2022/10033889) vom 19. September 2022. 4. […] 5. Es wird eine stationäre therapeutische Massnahme im Sinne von Art. 60 StGB (Suchtbehandlung) angeordnet. […]</w:t>
      </w:r>
    </w:p>
    <w:p>
      <w:r>
        <w:t>- 24 - 6.-7. […] 8. Es wird von einer Anordnung betreffend Sicherstellungen, Asservate, Spuren und Spurenträger abgesehen. 9. Es wird die Abnahme einer DNA-Probe des Beschuldigten und Erstellung eines DNA-Profils im Sinne von Art. 5 lit. a des DNA-Profil-Gesetzes angeordnet. Der Vollzugsauftrag wird der Kantonspolizei Zürich erteilt. 10. Der Beschuldigte wird verpflichtet, der Privatklägerin 2 (B._____) Schadener- satz von Fr. 42'000.00 zuzüglich 5 % Zins ab 3. September 2021 zu bezahlen. 11. Der Beschuldigte wird verpflichtet, der Privatklägerin 6 (C._____ GmbH) Scha- denersatz von Fr. 3'094.00 zuzüglich 5 % Zins ab 9. Juni 2021 zu bezahlen.</w:t>
      </w:r>
    </w:p>
    <w:p>
      <w:r>
        <w:rPr>
          <w:b/>
        </w:rPr>
        <w:t>E. 2</w:t>
      </w:r>
    </w:p>
    <w:p>
      <w:r>
        <w:t>Gegen das eingangs wiedergegebene Urteil des Bezirksgerichts Dietikon vom 21. April 2023 (Urk. 134) liess der Beschuldigte fristgerecht Berufung anmelden und erklären (Urk. 121 und 136). Anschlussberufungen gingen keine ein (Urk. 138 und 140-142). Der Beschuldigte befindet sich sodann seit dem 8. Juni 2023 im vor- zeitigen Massnahmeantritt, weshalb mit Präsidialverfügung vom 22. März 2024 ein aktueller Führungsbericht einverlangt wurde, welcher am 17. April 2024 hierorts einging (Urk. 118, 126, 145 und 153). Die weiteren mit der Berufungserklärung gestellten Beweisanträge des Beschuldigten wurden abgewiesen (Urk. 145). Mit Eingabe vom 28. März 2024 beantragte der Beschuldigten einen Wechsel der amtlichen Verteidigung (Urk. 147), welchem Antrag mit Präsidialverfügung vom 24. April 2024 stattgegeben wurde (Urk. 157).</w:t>
      </w:r>
    </w:p>
    <w:p>
      <w:r>
        <w:rPr>
          <w:b/>
        </w:rPr>
        <w:t>E. 3</w:t>
      </w:r>
    </w:p>
    <w:p>
      <w:r>
        <w:t>Gewerbs- und bandenmässiger Diebstahl Zunächst ist mit der Vorinstanz für den gewerbs- und bandenmässigen Diebstahl die objektive und subjektive Tatschwere zu gewichten und eine Einsatzstrafe fest- zulegen. Die Vorinstanz hat das Verschulden als keineswegs mehr leicht eingestuft und 22 Monate Freiheitsstrafe als angemessen erachtet (Urk. 134 S. 36 f.). Diese Beurteilung ist in der Verschuldensbewertung wie auch in der Strafhöhe zu korri- gieren. Die kriminelle Energie ist letztlich als nicht mehr gering einzustufen. Der Beschuldigte hat mit 20 Diebstählen in rund sechs Monaten Waren im Wert von rund Fr. 15'000.– erbeutet. Die Gewerbsmässigkeit erstreckt sich auf sämtliche Diebstähle, die Bandenmässigkeit auf deren zehn. Laut dem Beschuldigten wurde das als Bande erbeutete Deliktsgut "fair" untereinander aufgeteilt (Prot. I S. 47). Das Tatvorgehen war simpel und ihm ging keine grössere Planung voraus. Der Beschuldigte nahm ein grosses Risiko in Kauf, ertappt zu werden, da er die Dieb- stähle mehrheitlich in videoüberwachten Geschäftslokalen beging. Indes zeugt dieses Tatvorgehen mit der Vorinstanz auch von einer gewissen Unverfrorenheit. Das objektive Tatverschulden ist im Rahmen aller denkbaren Tatvarianten als knapp noch leicht einzuordnen. In subjektiver Hinsicht hat sich der Beschuldigte das direktvorsätzliche Handeln und seine eigennützige, finanzielle Motivation anrechnen zu lassen. Zudem wäre es ihm freigestanden, jederzeit mit dem delikti- schen Handeln aufzuhören, auch wenn er damit teilweise seinen Drogenkonsum finanzierte. Eine unausweichliche Notlage, die ihn in die Delinquenz getrieben oder darin gehalten hätte, ist jedenfalls nicht auszumachen, auch wenn der Drogen- konsum offenbar die treibende Kraft für seine Delinquenz war. Seine mutmassliche Drogenabhängigkeit wird sodann im Rahmen der Täterkomponente zu berücksich- tigen sein. Gemäss psychiatrischem Gutachten vom 7. März 2023 bestand keine krankheitsbedingte Einschränkung der Einsichts- oder Steuerungsfähigkeit (Urk. 93 S. 45 f.). Das subjektive Verschulden vermag das objektive insgesamt nur leicht zu relativieren. Die beiden blossen Versuche betreffend Dossier 6 und 26 sind strafmindernd zu berücksichtigen. Der Beschuldigte vollendete die Diebstähle</w:t>
      </w:r>
    </w:p>
    <w:p>
      <w:r>
        <w:t>- 11 - schliesslich nur nicht, weil er inflagranti erwischt wurde (D6 Urk. 1; D26 Urk. 1). Die Einsatzstrafe ist insbesondere in Anbetracht der Deliktssumme und der Kadenz der Diebstähle bei 24 Monaten festzusetzen.</w:t>
      </w:r>
    </w:p>
    <w:p>
      <w:r>
        <w:rPr>
          <w:b/>
        </w:rPr>
        <w:t>E. 4</w:t>
      </w:r>
    </w:p>
    <w:p>
      <w:r>
        <w:t>Betrug Hinsichtlich des Betrugs hat die Vorinstanz korrekt erwogen, dass es sich bei der Deliktssumme von Fr. 42'000.– um einen wesentlichen Betrag handle, aber inner- halb des Anwendungsbereichs der Covid-19-Solidarbürgschaftsverordnung weit höhere Deliktsbeträge denkbar seien. Das Tatvorgehen war simpel und erschöpfte sich in einfachen falschen Angaben. Allerdings nützte der Beschuldigte die minimen Kontrollen des Notkredits unverfroren aus. Er legte auch hierbei eine nicht unerhebliche kriminelle Energie an den Tag. In subjektiver Hinsicht ging die Vor- instanz von Eventualvorsatz aus, was vertretbar ist. Ins Gewicht fällt sodann, dass der Beschuldigte den Kredit auch zur Tilgung von Schulden der Kreditnehmerin verwendet hat. Es bestand ebenfalls keine krankheitsbedingte Einschränkung der Einsichts- oder Steuerungsfähigkeit (Urk. 93 S. 45 f.). Das subjektive Verschulden vermag das objektive auch hier leicht zu relativieren. Im Ergebnis ist das Tatver- schulden als noch leicht einzustufen. Im Ergebnis ist die Einzelstrafe bei 14 Mona- ten anzusetzen und die Einsatzstrafe in Anwendung des Asperationsprinzips um</w:t>
      </w:r>
    </w:p>
    <w:p>
      <w:r>
        <w:rPr>
          <w:b/>
        </w:rPr>
        <w:t>E. 9</w:t>
      </w:r>
    </w:p>
    <w:p>
      <w:r>
        <w:t>Monate zu erhöhen. 5. Urkundenfälschung Die Urkundenfälschung diente zur Begehung des Betrugs und ist nicht als eigen- ständiges, losgelöstes Delikt zu sehen. Zudem war das Tatvorgehen auch diesbe- züglich simpel. In subjektiver Hinsicht muss sich der Beschuldigte das direktvor- sätzliche Handeln anrechnen lassen. Auch diesbezüglich ist zu berücksichtigen, dass der Beschuldigte den mittels Urkundenfälschung erlangten Kredit auch zur Tilgung von Schulden der Kreditnehmerin verwendet hat. Es bestand ebenfalls keine krankheitsbedingte Einschränkung der Einsichts- oder Steuerungsfähigkeit (Urk. 93 S. 45 f.). Im Ergebnis ist das Tatverschulden als leicht einzustufen. Mit der Vorinstanz ist die Einzelstrafe aufgrund des engen Sachzusammenhangs mit dem Betrug und der fehlenden Eigenständigkeit der Urkundenfälschung (BGE 144</w:t>
      </w:r>
    </w:p>
    <w:p>
      <w:r>
        <w:t>- 12 - IV 217 E. 3.5.4) bei 4 Monaten anzusetzen und die Einsatzstrafe in Anwendung des Asperationsprinzips um 2 Monate zu erhöhen. 6. Mehrfacher Hausfriedensbruch Der Beschuldigte betrat viermal trotz Hausverbot mehrere Ladenlokale und einmal einen Privatparkplatz, um Diebstähle zu begehen. Mit anderen Worten dienten die Hausfriedensbrüche zur Begehung der Diebstähle und stehen mit diesen zeitlich, sachlich und situativ in einem engen Zusammenhang (BGE 144 IV 217 E. 3.5.4). Der Beschuldigte hat keine privaten Wohnräume betreten, wo die Privatsphäre respektive das Sicherheitsgefühl der Geschädigten erheblich tangiert wird. In subjektiver Hinsicht muss sich der Beschuldigte das direktvorsätzliche Handeln an- rechnen lassen. Erwähnenswert ist auch die egoistische Motivation. Es bestand keine krankheitsbedingte Einschränkung der Einsichts- oder Steuerungsfähigkeit (Urk. 93 S. 45 f.). Im Ergebnis ist das Tatverschulden als leicht einzustufen. Die Einzelstrafe ist aufgrund des engen Sachzusammenhangs mit den Diebstählen bei 4 Monaten anzusetzen und die Einsatzstrafe in Anwendung des Asperationsprin- zips um 2 Monate zu erhöhen. 7. Täterkomponente Der 29-jährige Beschuldigte wuchs in durchschnittlichen finanziellen Verhältnissen bei seinen Eltern und Geschwistern in Marokko auf. Er besuchte dort die Schule, schloss eine Lehre als Elektromechaniker ab und arbeitete bei J._____ sowie bei K._____. 2016 kam er im Zuge der Heirat seiner jetzigen Ex-Ehefrau in die Schweiz, wo er zunächst in verschiedenen K._____-Filialen arbeitete, bis er im Jahr 2019 zusammen mit einer Bekannten seines Schwiegervaters die L._____ GmbH gründete, um ein Restaurant zu führen. Ungefähr in diesem Zeitraum begann er mit dem Drogenkonsum. Als die Geschäftspartnerin gegen Ende des Jahres 2019 die Schweiz verliess, war der Beschuldigte fortan mit der Fortführung des Betriebs überfordert. Der Betrieb wurde letztlich liquidiert und seither ist der Beschuldige ohne Erwerbstätigkeit. Aus der Ehe gingen der Sohn M._____ (geb. 2017) und die Tochter N._____ (geb. 2020) hervor. Der Sohn lebt seit dem Jahr 2017 bei den Eltern des Beschuldigten in Marokko, die Tochter bei der Ex-Ehefrau. Der Beschul-</w:t>
      </w:r>
    </w:p>
    <w:p>
      <w:r>
        <w:t>- 13 - digte und seine Ex-Ehefrau trennten sich im Jahr 2020, woraufhin der Beschuldigte aus der gemeinsamen Wohnung auszog und seither keinen festen Wohnsitz mehr hat. Die Scheidung erfolgte im Jahr 2023, wobei die Kinder unter das alleinige Sor- gerecht der Mutter gestellt wurden und dieser auch die alleinige Obhut übertragen wurde (Prot. I S. 23 ff.; D1 Urk. 3 S. 29 ff; Urk. 93 S. 18 ff.; Urk. 94A/1; Urk. 67). Anlässlich der Berufungsverhandlung ergänzte und aktualisierte der Beschuldigte, zweimal im Monat habe er einen Zwölf-Stunden-Beziehungsurlaub, welchen er je- weils mit der Tochter verbringe. Mit dem Sohn skype er ein- bis zweimal wöchent- lich. Der Sohn werde in die Schweiz zurückkehren, wenn die Ex-Ehefrau ihre Aus- bildung abgeschlossen habe (Urk. 165 S. 1 ff.). Der Werdegang und die persönli- chen Verhältnisses des Beschuldigten sind weitgehend strafzumessungsneutral zu werten. Gemäss dem psychiatrischem Gutachten vom 7. März 2023 litt der Be- schuldigte zum Tatzeitpunkt unter einer Kokainabhängigkeit (Urk. 93 S. 36 und 44). Anlässlich der Hauptverhandlung gab der Beschuldigte zu Protokoll, im Gefängnis als geschütztes Umfeld "clean" zu sein respektive keine Drogen zu konsumieren, die Drogenabhängigkeit allerdings nicht nachhaltig besiegt zu haben (Prot. I S. 39 und 43). Auch den Aussagen des Beschuldigten anlässlich der Berufungsverhand- lung und dem Vollzugsbericht vom 15. April 2024 ist zu entnehmen, dass er die Drogensucht bislang nicht nachhaltig überwunden hat (Urk. 165 S. 1 ff. und Urk. 153). Der Drogenkonsum bzw. die Drogenabhängigkeit im Tatzeitraum ist somit mit 2 Monaten strafmindernd zu berücksichtigen. Der Umstand, dass der Beschuldigte keine Vorstrafen aufweist, ist mit der Vorinstanz strafzumessungsneutral zu werten. Was das Nachtatverhalten betrifft, so hat sich die Vorinstanz sehr differenziert damit auseinandergesetzt, worauf vorbehaltlos verwiesen werden kann (Urk. 134 S. 38 f.). Die grossmehrheitlichen Geständnisse und die vom Beschuldigten in gewissem Masse gezeigte Reue, indem er die Zivilforderungen der Privatklägerschaft in weiten Teilen anerkannt hat, wirken strafmindernd. Allerdings hätten sich die Anklagesachverhalte aufgrund der vorhandenen Beweise auch geständnisunabhängig erstellen lassen. Die erhebliche Anzahl begangener Delikte während laufender Strafuntersuchung, womit der Beschuldigte seine Unbelehrbarkeit manifestiert hat, wirkt straferhöhend (Urk. 151). Unter Berücksichtigung aller straferhöhenden und strafmindernden</w:t>
      </w:r>
    </w:p>
    <w:p>
      <w:r>
        <w:t>- 14 - Faktoren rechtfertigt sich eine Strafminderung von 2 Monaten. 8. Hinderung einer Amtshandlung Die Vorinstanz hat in Abgeltung der Hinderung einer Amtshandlung eine Geldstrafe von 30 Tagessätzen bemessen. Damit hat sie den Strafrahmen voll ausgeschöpft (Art. 286 StGB), obwohl sie eine Geldstrafe "im unteren Bereich" ausfällen wollte (Urk. 134 S. 42). Durch die Flucht des Beschuldigten wurde die Personenkontrolle nicht verhindert, aber erheblich erschwert und verzögert. Er wurde nach dem ersten Fluchtversuch gefasst, löste sich gewaltsam aus dem Griff der Polizei und flüchtete erneut, bis er schliesslich arretiert werden konnte. Das objektive Tatverschulden ist als mittelschwer einzuordnen. In subjektiver Hinsicht ist das direktvorsätzliche Handeln zu berücksichtigen. Die gemäss psychiatrischem Gutachten vom 7. März 2023 aufgrund einer paranoiden Erlebnisverarbeitung im Rahmen der polymorph- psychotischen Störung mittelgradige Einschränkung der Steuerungsfähigkeit (Urk. 93 S. 46) reduziert das mittschwere Tatverschulden auf ein noch leichtes Verschulden (BGE 136 IV 55, E. 5.6). Dies führt zu einer Geldstrafe von</w:t>
      </w:r>
    </w:p>
    <w:p>
      <w:r>
        <w:rPr>
          <w:b/>
        </w:rPr>
        <w:t>E. 12</w:t>
      </w:r>
    </w:p>
    <w:p>
      <w:r>
        <w:t>Der Beschuldigte wird verpflichtet, der Privatklägerin 5 (D._____) Schadener- satz von Fr. 150.00 zuzüglich 5 % Zins ab 12. Juni 2021 zu bezahlen. Im Mehrbetrag wird die Privatklägerin mit ihren Zivilansprüchen auf den Weg des ordentlichen Zivilprozesses verwiesen.</w:t>
      </w:r>
    </w:p>
    <w:p>
      <w:r>
        <w:rPr>
          <w:b/>
        </w:rPr>
        <w:t>E. 13</w:t>
      </w:r>
    </w:p>
    <w:p>
      <w:r>
        <w:t>Die Zivilforderungen der folgenden Privatklägerinnen werden abgewiesen:  Privatklägerin 10 (E1._____ Genossenschaft Zürich; Dossier 3 und 10);  Privatklägerin 7 (F._____; Dossier 8 und 15);  Privatklägerin 11 (E2._____; Dossier 13);  Privatklägerin 4 (Genossenschaft E3._____; Dossier 14);  Privatklägerin 9 (E4._____; Dossier 22);  Privatklägerin 12 (G._____ AG; Dossier 23).</w:t>
      </w:r>
    </w:p>
    <w:p>
      <w:r>
        <w:rPr>
          <w:b/>
        </w:rPr>
        <w:t>E. 14</w:t>
      </w:r>
    </w:p>
    <w:p>
      <w:r>
        <w:t>Die folgenden Privatklägerinnen werden mit ihren Schadenersatz- und Genug- tuungsbegehren vollumfänglich auf den Zivilweg verwiesen:  Privatklägerin 12 (G._____ AG; Dossier 26);  Privatklägerin 3 (H._____; Dossier 16 und 18);  Privatklägerin 14 (I._____ AG; Dossier 20).</w:t>
      </w:r>
    </w:p>
    <w:p>
      <w:r>
        <w:t>- 25 -</w:t>
      </w:r>
    </w:p>
    <w:p>
      <w:r>
        <w:rPr>
          <w:b/>
        </w:rPr>
        <w:t>E. 15</w:t>
      </w:r>
    </w:p>
    <w:p>
      <w:r>
        <w:t>Die Entscheidgebühr wird angesetzt auf: Fr. 4'500.00; die weiteren Kosten betragen: Fr. 15'000.00 Gebühr für das Vorverfahren; Fr. 14'827.80 Gutachten Psychiatrische Universitätsklinik Zürich</w:t>
      </w:r>
    </w:p>
    <w:p>
      <w:r>
        <w:rPr>
          <w:b/>
        </w:rPr>
        <w:t>E. 16</w:t>
      </w:r>
    </w:p>
    <w:p>
      <w:r>
        <w:t>Rechtsanwalt lic. iur. X2._____ wird für seine Aufwendungen als amtlicher Ver- teidiger des Beschuldigten zusätzlich zu der mit Verfügung des hiesigen Ge- richts vom 8. Dezember 2022 bereits ausgerichteten Akontozahlung von Fr. 13'608.85 aus der Bezirksgerichtskasse mit zusätzlichen Fr. 10'019.00 (inkl. Barauslagen und 7.7 % MwSt.) entschädigt.</w:t>
      </w:r>
    </w:p>
    <w:p>
      <w:r>
        <w:rPr>
          <w:b/>
        </w:rPr>
        <w:t>E. 17</w:t>
      </w:r>
    </w:p>
    <w:p>
      <w:r>
        <w:t>Die Kosten der Untersuchung und des gerichtlichen Verfahrens, ausgenom- men diejenigen der amtlichen Verteidigung, werden dem Beschuldigten aufer- legt.</w:t>
      </w:r>
    </w:p>
    <w:p>
      <w:r>
        <w:rPr>
          <w:b/>
        </w:rPr>
        <w:t>E. 18</w:t>
      </w:r>
    </w:p>
    <w:p>
      <w:r>
        <w:t>Die Kosten der amtlichen Verteidigung werden auf die Gerichtskasse genom- men; vorbehalten bleibt eine Nachforderung gemäss Art. 135 Abs. 4 StPO.</w:t>
      </w:r>
    </w:p>
    <w:p>
      <w:r>
        <w:rPr>
          <w:b/>
        </w:rPr>
        <w:t>E. 19</w:t>
      </w:r>
    </w:p>
    <w:p>
      <w:r>
        <w:t>Der Beschuldigte wird verpflichtet, der Privatklägerin 2 Fr. 1'015.00 (inkl. Bar- auslagen und 7,7% MwSt.) als Prozessentschädigung für das gesamte Verfah- ren zu bezahlen."</w:t>
      </w:r>
    </w:p>
    <w:p>
      <w:r>
        <w:rPr>
          <w:b/>
        </w:rPr>
        <w:t>E. 20</w:t>
      </w:r>
    </w:p>
    <w:p>
      <w:r>
        <w:t>[Mitteilungen]</w:t>
      </w:r>
    </w:p>
    <w:p>
      <w:r>
        <w:rPr>
          <w:b/>
        </w:rPr>
        <w:t>E. 21</w:t>
      </w:r>
    </w:p>
    <w:p>
      <w:r>
        <w:t>[Rechtsmittel]" 2. Mündliche Eröffnung und schriftliche Mitteilung mit nachfolgendem Urteil. Es wird erkannt: 1. Der Beschuldigte wird bestraft mit 7 Monaten Freiheitsstrafe (wovon 397 Tage durch Haft und vorzeitigen Massnahmevollzug erstanden sind) als Zusatz- strafe zu den mit folgenden Strafbefehlen ausgefällten Strafen: Strafbefehl der Staatsanwaltschaft Zürich-Limmat (Aktenzeichen  D-2/2022/10015476) vom 27. Juni 2022; Strafbefehl der Staatsanwaltschaft Limmattal/Albis (Aktenzeichen  B-8/2022/10023277) vom 2. Juli 2022;</w:t>
      </w:r>
    </w:p>
    <w:p>
      <w:r>
        <w:t>- 26 - Strafbefehl der Staatsanwaltschaft Zürich-Sihl (Aktenzeichen:  F-6/2022/10025160) vom 17. Juli 2022; Strafbefehl der Staatsanwaltschaft Zürich-Sihl (Aktenzeichen:  F-8/2022/10025314) vom 18. Juli 2022; Strafbefehl der Staatsanwaltschaft Zürich-Sihl (Aktenzeichen  G-5/2022/10025564) vom 22. Juli 2022; Strafbefehl der Staatsanwaltschaft Zürich-Sihl (Aktenzeichen  G-7/2022/10026335) vom 24. Juli 2022; Strafbefehl der Staatsanwaltschaft Limmattal/Albis (Aktenzeichen:  B-6/2022/10027611) vom 3. August 2022; Strafbefehl der Staatsanwaltschaft Limmattal/Albis (Aktenzeichen  B-8/2022/10028143) vom 7. August 2022; Strafbefehl der Staatsanwaltschaft Zürich-Sihl (Aktenzeichen  S-1/2022/10029139) vom 14. August 2022; Strafbefehl der Staatsanwaltschaft Zürich-Limmat (Aktenzeichen  A-5/2022/10030020) vom 19. August 2022; Strafbefehl der Staatsanwaltschaft Zürich-Limmat (Aktenzeichen  D-6/2022/10030998) vom 27. August 2022; Strafbefehl der Staatsanwaltschaft Limmattal/Albis (Aktenzeichen:  A-4/2022/10031291) vom 8. September 2022; Strafbefehl der Staatsanwaltschaft Zürich-Limmat (Aktenzeichen:  TRSP 4/2022/10033439) vom 15. September 2022; Strafbefehl der Staatsanwaltschaft Limmattal/Albis (Aktenzeichen:  A-5/2022/10033889) vom 19. September 2022; Strafbefehl der Staatsanwaltschaft Zürich-Sihl (Aktenzeichen:  F-1/2022/10034713) vom 25. September 2022. 2. Auf die Ausfällung einer Geldstrafe als Zusatzstrafe zu den mit nachfolgenden Strafbefehlen ausgefällten Strafen wird verzichtet: Strafbefehl der Staatsanwaltschaft Limmattal/Albis (Aktenzeichen  B-6/2020/10042671) vom 4. Januar 2021; Strafbefehl der Staatsanwaltschaft Zürich-Limmat (Aktenzeichen:  D-3/2022/10014931) vom 27. April 2022; Strafbefehl der Staatsanwaltschaft Zürich-Limmat (Aktenzeichen:  TRSP 4/2022/10033439) vom 15. September 2022.</w:t>
      </w:r>
    </w:p>
    <w:p>
      <w:r>
        <w:t>- 27 - 3. Die Freiheitsstrafe wird vollzogen. 4. Der Vollzug der Freiheitsstrafe wird zugunsten der stationären therapeutischen Massnahme im Sinne von Art. 60 StGB (Suchtbehandlung) aufgeschoben. Der vom Beschuldigten durch Haft und vorzeitigen stationären Massnahmenvollzug erlittene Freiheitsentzug von 397 Tagen wird an die stationäre Massnahme angerechnet. 5. Der Beschuldigte wird im Sinne von Art. 66a StGB für 7 Jahre des Landes verwiesen. 6. Die Ausschreibung der Landesverweisung im Schengener Informations- system wird angeordnet. 7. Die zweitinstanzliche Gerichtsgebühr wird festgesetzt auf: Fr. 3'600.00 ; die weiteren Kosten betragen: RA lic. iur. X2._____ (amtlicher Verteidiger bis 24. April Fr. 4'000.00 2024; inkl. MwSt.) Fr. 5'500.00 RA MLaw X1._____ (inkl. MwSt.). 8. Die Kosten des Berufungsverfahrens, mit Ausnahme der Kosten der amtlichen Verteidigung, werden zu 9/10 dem Beschuldigten auferlegt und im Umfang von 1/10 auf die Gerichtskasse genommen. Die Kosten der amtlichen Verteidigung werden zu 9/10 einstweilen und zu 1/10 definitiv auf die Gerichts- kasse genommen. Die Rückzahlungspflicht des Beschuldigten im Umfang von 9/10 bleibt gemäss Art. 135 Abs. 4 StPO vorbehalten. 9. Mündliche Eröffnung und schriftliche Mitteilung im Dispositiv an die amtliche Verteidigung im Doppel für sich und zuhanden des  Beschuldigten (übergeben) die Staatsanwaltschaft Zürich-Limmat (versandt)  die Vertretung der Privatklägerin 2 B._____, Rechtsanwältin Dr. iur.  Y1._____ im Doppel für sich und zuhanden der Privatklägerin (versandt) den Privatkläger 3 H._____ (versandt)  die Privatklägerin 4 Genossenschaft E1._____ Zürich (versandt) </w:t>
      </w:r>
    </w:p>
    <w:p>
      <w:r>
        <w:t>- 28 - die Privatklägerin 5 D._____ (versandt)  die Vertretung der Privatklägerin 6 C._____ GmbH, Rechtsanwalt  lic iur. Y2._____ im Doppel für sich und zuhanden der Privatklägerin (versandt) den Privatkläger 7 F._____ (versandt)  die Privatklägerin 8 E._____ vertreten durch Genossenschaft E1._____  Zürich O._____ (versandt) die Privatklägerin 9 E4._____ vertreten durch Genossenschaft E1._____  Zürich P._____ (versandt) die Privatklägerin 10 Genossenschaft E1._____ Zürich vertreten durch  Q._____ (versandt) die Privatklägerin 11 E2._____ (versandt)  die Privatklägerin 12 G._____ AG zuhanden R._____ (versandt)  die Privatklägerin 14 I._____ AG zuhanden S._____ (versandt)  (Eine begründete Urteilsausfertigung gemäss Art. 84 Abs. 4 StPO wird der Privatklägerschaft nur zugestellt, sofern sie dies innert 10 Tagen nach Erhalt des Dispositivs verlangt.) den Justizvollzug des Kantons Zürich, Abteilung Bewährungs- und  Vollzugsdienste das Migrationsamt des Kantons Zürich  sowie in vollständiger Ausfertigung an die amtliche Verteidigung im Doppel für sich und zuhanden des  Beschuldigten die Staatsanwaltschaft Zürich-Limmat  und nach unbenütztem Ablauf der Rechtsmittelfrist bzw. Erledigung allfälliger Rechtsmittel an die Vorinstanz  den Justizvollzug des Kantons Zürich, Abteilung Bewährungs- und  Vollzugsdienste das Migrationsamt des Kantons Zürich  die Koordinationsstelle VOSTRA/DNA mit Formular A  die Kantonspolizei Zürich, Erkennungsdienst, Güterstr. 33, 8010 Zürich,  unter Hinweis auf VI Dispositiv-Ziffer 9.</w:t>
      </w:r>
    </w:p>
    <w:p>
      <w:r>
        <w:t>- 29 - 10.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 sanne 14) in der in Art. 42 des Bundesgerichtsgesetzes vorgeschriebenen Weise schriftlich einzureichen. Die Beschwerdelegitimation und die weiteren Beschwerdevoraussetzungen richten sich nach den massgeblichen Bestimmungen des Bundesgerichts- gesetzes. Obergericht des Kantons Zürich I. Strafkammer Zürich, 6. Mai 2024 Der Präsident: Die Gerichtsschreiberin: lic. iur. B. Gut MLaw N. Hunziker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