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SB240015 vom 15. Januar 2025</w:t>
      </w:r>
    </w:p>
    <w:p>
      <w:r>
        <w:t>ZH Obergericht, 2025-01-15, DE</w:t>
      </w:r>
    </w:p>
    <w:p>
      <w:r>
        <w:rPr>
          <w:b/>
        </w:rPr>
        <w:t xml:space="preserve">Quelle: </w:t>
      </w:r>
      <w:r>
        <w:t>https://mcp.opencaselaw.ch/entscheid/zh_obergericht_SB240015</w:t>
      </w:r>
    </w:p>
    <w:p>
      <w:r>
        <w:t>FR: ZH_OBERGERICHT SB240015 du 15 janvier 2025</w:t>
      </w:r>
    </w:p>
    <w:p>
      <w:r>
        <w:t>IT: ZH_OBERGERICHT SB240015 del 15 gennaio 2025</w:t>
      </w:r>
    </w:p>
    <w:p>
      <w:pPr>
        <w:pStyle w:val="Heading2"/>
      </w:pPr>
      <w:r>
        <w:t>Erwägungen</w:t>
      </w:r>
    </w:p>
    <w:p>
      <w:r>
        <w:rPr>
          <w:b/>
        </w:rPr>
        <w:t>E. 1</w:t>
      </w:r>
    </w:p>
    <w:p>
      <w:r>
        <w:t>Mit Strafbefehl der Staatsanwaltschaft I des Kantons Zürich, Schwere Ge- waltkriminalität, vom 7. Juni 2021 wurde die Beschuldigte wegen einfacher Kör- perverletzung und übler Nachrede mit einer Geldstrafe von 40 Tagessätzen zu Fr. 80.– bestraft. Der Vollzug der Geldstrafe wurde aufgeschoben, unter Anset- zung einer Probezeit von 2 Jahren. Die Zivilklage des Privatklägers wurde auf den Zivilweg verwiesen (D1 Urk. 14). Mit Eingabe vom 5. Juli 2019 erhob die Beschul- digte dagegen fristgerecht Einsprache (D1 Urk. 17; vgl. D1 Urk. 15). Mit Eingabe vom 9. Juli 2021 hielt die Staatsanwaltschaft am Strafbefehl vom 7. Juni 2021 fest und überwies diesen samt Akten an das Bezirksgericht Horgen, Einzelgericht in Strafsachen (Vorinstanz).</w:t>
      </w:r>
    </w:p>
    <w:p>
      <w:r>
        <w:rPr>
          <w:b/>
        </w:rPr>
        <w:t>E. 1.1</w:t>
      </w:r>
    </w:p>
    <w:p>
      <w:r>
        <w:t>Unter Hinweis auf das erste Berufungsurteil vom 28. Oktober 2022 kann festgehalten werden, dass nach Art. 399 Abs. 4 StPO die Berufung auf einzelne Urteilspunkte eingeschränkt werden kann. Eine isolierte Anfechtung des Schuld- punktes ist indes nicht möglich: Bei einem Antrag auf Freispruch gelten für den Fall der Gutheissung automatisch auch die mit der Tat untrennbar zusammenhän- genden Folgepunkte des Urteils (z.B. Sanktion, Zivilpunkt, Kostenfolgen) als an- gefochten, also alle Punkte nach Art. 399 Abs. 4 lit. b-g StPO. Bestätigt das Beru- fungsgericht den Schuldpunkt, sind die weiteren Urteilspunkte – soweit nicht expli- zit angefochten – nicht zu überprüfen (Urk. 88 S. 6 mit weiteren Hinweisen).</w:t>
      </w:r>
    </w:p>
    <w:p>
      <w:r>
        <w:t>- 7 -</w:t>
      </w:r>
    </w:p>
    <w:p>
      <w:r>
        <w:rPr>
          <w:b/>
        </w:rPr>
        <w:t>E. 1.2</w:t>
      </w:r>
    </w:p>
    <w:p>
      <w:r>
        <w:t>Die Beschuldigte beantragt einen vollumfänglichen Freispruch und den Verweis der Zivilklage des Privatklägers auf den Zivilweg, unter Kosten- und Ent- schädigungsfolgen (Urk. 114 S. 1 i.V.m. Urk. 122 S. 2; vgl. bereits Urk. 50 S. 2 und Urk. 58 S. 1). Mithin ist das vorinstanzliche Urteil vollumfänglich zu überprü- fen.</w:t>
      </w:r>
    </w:p>
    <w:p>
      <w:r>
        <w:rPr>
          <w:b/>
        </w:rPr>
        <w:t>E. 1.3</w:t>
      </w:r>
    </w:p>
    <w:p>
      <w:r>
        <w:t>Da einzig die Beschuldigte gegen das erstinstanzliche Urteil Berufung er- klärt hat und keine Anschlussberufung erhoben wurde, kommt das Verschlechte- rungsverbot gemäss Art. 391 Abs. 2 StPO zur Anwendung. 2. Rückweisung / Bindungswirkung</w:t>
      </w:r>
    </w:p>
    <w:p>
      <w:r>
        <w:rPr>
          <w:b/>
        </w:rPr>
        <w:t>E. 2</w:t>
      </w:r>
    </w:p>
    <w:p>
      <w:r>
        <w:t>Mit Urteil vom 26. November 2021 sprach die Vorinstanz die Beschuldigte der einfachen Körperverletzung und der üblen Nachrede schuldig und bestrafte sie mit einer Geldstrafe von 50 Tagessätzen zu Fr. 80.–. Der Vollzug der Gelds- trafe wurde aufgeschoben, unter Ansetzung einer Probezeit von 2 Jahren. Die Zi- vilklage des Privatklägers verwies die Vorinstanz auf den Zivilweg (Urk. 48 S. 30). Gegen dieses Urteil meldete die Beschuldigte mit Eingabe desselben Tages per- sönlich Berufung an (Urk. 44). Am 17. Februar 2022 folgte fristwahrend die schrift- liche Berufungserklärung (Urk. 50).</w:t>
      </w:r>
    </w:p>
    <w:p>
      <w:r>
        <w:rPr>
          <w:b/>
        </w:rPr>
        <w:t>E. 2.1</w:t>
      </w:r>
    </w:p>
    <w:p>
      <w:r>
        <w:t>Eine Bestimmung zur Bindungswirkung eines bundesgerichtlichen Rück- weisungsentscheides findet sich im BGG nicht, da die Bindung der kantonalen In- stanz an den Rückweisungsentscheid als selbstverständlich angesehen wird (vgl. Botschaft vom 28. Februar 2001 zur Totalrevision der Bundesrechtspflege, BBl 2001 4346, Ziff. 4.1.4.5 zu Art. 101 E-BGG am Ende). Die Bindungswirkung bundesgerichtlicher Rückweisungsentscheide ergibt sich somit aus ungeschriebe- nem Bundesrecht. Demnach sind die vom Bundesgericht bereits entschiedenen Fragen nicht mehr zu überprüfen (BGE 143 IV 214 E. 5.3.3; 135 III 334 E. 2.1; MEYER/DORMANN, in: Niggli/Uebersax/Wiprächtiger/Kneubühler [Hrsg.], Basler Kommentar BGG, 3. Auflage, Basel 2018, N 18 zu Art. 107 BGG).</w:t>
      </w:r>
    </w:p>
    <w:p>
      <w:r>
        <w:rPr>
          <w:b/>
        </w:rPr>
        <w:t>E. 2.2</w:t>
      </w:r>
    </w:p>
    <w:p>
      <w:r>
        <w:t>Heisst das Bundesgericht eine Beschwerde gut und weist es die Angele- genheit zur neuen Beurteilung an das Berufungsgericht zurück, darf sich dieses von Bundesrechts wegen nur noch mit jenen Punkten befassen, die das Bundes- gericht kassierte. Die anderen Teile des Urteils haben Bestand und sind in das neue Urteil zu übernehmen. Die neue Entscheidung der kantonalen Instanz ist so- mit auf diejenige Thematik beschränkt, die sich aus den bundesgerichtlichen Er- wägungen als Gegenstand der neuen Beurteilung ergibt. Das Verfahren wird nur insoweit neu in Gang gesetzt, als dies notwendig ist, um den verbindlichen Erwä- gungen des Bundesgerichts Rechnung zu tragen (BGE 143 IV 214 E. 5.2.1 mit Hinweisen).</w:t>
      </w:r>
    </w:p>
    <w:p>
      <w:r>
        <w:t>- 8 - Aufgrund der Bindungswirkung bundesgerichtlicher Rückweisungsentscheide hat die mit der Neubeurteilung befasste kantonale Instanz nach ständiger Rechtspre- chung die rechtliche Beurteilung, mit der die Zurückweisung begründet wird, ihrer Entscheidung zugrunde zu legen. Es ist dem Berufungsgericht in aller Regel ver- wehrt, der Beurteilung des Rechtsstreits einen anderen als den bisherigen Sach- verhalt zu unterstellen oder die Sache unter rechtlichen Gesichtspunkten zu prü- fen, die im Rückweisungsentscheid ausdrücklich abgelehnt oder überhaupt nicht in Erwägung gezogen worden sind (BGE 143 IV 214 E. 5.3.3 mit Hinweisen). Diese Rechtsprechung beruht auf dem Gedanken, dass das Strafverfahren prinzi- piell mit dem Urteil der (oberen) kantonalen Instanz abgeschlossen ist (Urteile des Bundesgerichts 6B_1216/2020 vom 11. April 2022 E. 1.3.3; 6B_1431/2017 vom 31. Juli 2018 E. 1.3 mit Hinweis).</w:t>
      </w:r>
    </w:p>
    <w:p>
      <w:r>
        <w:rPr>
          <w:b/>
        </w:rPr>
        <w:t>E. 2.3</w:t>
      </w:r>
    </w:p>
    <w:p>
      <w:r>
        <w:t>Das Bundesgericht erwägt, die Sachverhaltsfeststellung erweise sich in Bezug auf die Notwehrlage sowie die Angemessenheit der Notwehr als unvoll- ständig. Zudem sei die Beweiswürdigung teilweise willkürlich. In Bezug auf die dem Biss der Beschuldigten vorangegangenen Handlungen des Privatklägers gehe nicht klar hervor, von welchem Sachverhalt ausgegangen worden sei. Die Begründungspflicht sei verletzt worden. Somit sei dem Bundesgericht verunmög- licht worden, das Berufungsurteil auf dessen Rechtmässigkeit zu überprüfen (Urk. 98 S. 7 f.).</w:t>
      </w:r>
    </w:p>
    <w:p>
      <w:r>
        <w:rPr>
          <w:b/>
        </w:rPr>
        <w:t>E. 2.4</w:t>
      </w:r>
    </w:p>
    <w:p>
      <w:r>
        <w:t>Das Bundesgericht hat sich konsequenterweise nicht dazu geäussert, wie das Notwehrrecht auf den konkreten Fall anzuwenden sei. Damit kann diesbezüg- lich auch keine Bindungswirkung eingetreten sein. Eine Bindungswirkung ist aber nach dem Gesagten hinsichtlich rechtlicher Ge- sichtspunkte eingetreten, die überhaupt nicht in Erwägung gezogen wurden. Eine mögliche Anwendbarkeit des Rechtfertigungsgrundes gemäss Art. 926 ZGB (Ab- wehr von Angriffen aus Besitzesschutz) ist mithin nicht mehr zu prüfen.</w:t>
      </w:r>
    </w:p>
    <w:p>
      <w:r>
        <w:rPr>
          <w:b/>
        </w:rPr>
        <w:t>E. 2.5</w:t>
      </w:r>
    </w:p>
    <w:p>
      <w:r>
        <w:t>Soweit das Bundesgericht erwägt, welche Beweise noch zu würdigen seien, so ist das hiesige Gericht zwar an die Auffassung des Bundesgerichts, ins- besondere hinsichtlich der Begründungspflicht, selbstredend gebunden. Es muss</w:t>
      </w:r>
    </w:p>
    <w:p>
      <w:r>
        <w:t>- 9 - jedoch gerade im Hinblick auf die im Raume stehende Anwendbarkeit des Not- wehrrechts in der Lage sein, dennoch von einer detaillierten Würdigung abzuse- hen, wenn es diese aus rechtlichen Gründen für irrelevant hält und dies auch be- gründet (was vom Unterlassen einer Würdigung ohne Begründung zu unterschei- den ist). Schliesslich ist eine antizipierte Beweiswürdigung oder eine Wahrunter- stellung der im Raume stehenden Aussagen im Hinblick auf die Relevanz für die rechtliche Würdigung auch eine Form der Beweiswürdigung. Anzumerken ist auch, dass der Sachverhalt dort neu bzw. frei beurteilt werden kann, wo das Bun- desgericht festhält, es sei nicht klar, von welchem Sachverhalt ausgegangen werde.</w:t>
      </w:r>
    </w:p>
    <w:p>
      <w:r>
        <w:rPr>
          <w:b/>
        </w:rPr>
        <w:t>E. 2.6</w:t>
      </w:r>
    </w:p>
    <w:p>
      <w:r>
        <w:t>Eine Bindungswirkung ergibt sich sodann zweifelsfrei aus der unzweideuti- gen Erwägung des Bundesgerichts, die Beschuldigte sei vom Vorwurf der üblen Nachrede freizusprechen (Urk. 98 S. 16). Entsprechend hat ohne Weiteres ein entsprechender Freispruch zu ergehen. Weitergehende Ausführungen erübrigen sich hierzu. 3. Verwertbarkeit von Aussagen</w:t>
      </w:r>
    </w:p>
    <w:p>
      <w:r>
        <w:rPr>
          <w:b/>
        </w:rPr>
        <w:t>E. 3</w:t>
      </w:r>
    </w:p>
    <w:p>
      <w:r>
        <w:t>Mit Urteil vom 28. Oktober 2022 bestätigte das hiesige Gericht den vorinstanz- lichen Schuldspruch unter Kostenfolge zulasten der Beschuldigten (Urk. 88 S. 32).</w:t>
      </w:r>
    </w:p>
    <w:p>
      <w:r>
        <w:rPr>
          <w:b/>
        </w:rPr>
        <w:t>E. 3.1</w:t>
      </w:r>
    </w:p>
    <w:p>
      <w:r>
        <w:t>Nebst den Aussagen des Privatklägers und der Beschuldigten liegen auch potentiell relevante Aussagen von C._____ und von D._____ vor (D1 Urk. 4/1 und Urk. 4/2). Diese Aussagepersonen wurden jedoch nie mit der Beschuldigten kon- frontiert.</w:t>
      </w:r>
    </w:p>
    <w:p>
      <w:r>
        <w:rPr>
          <w:b/>
        </w:rPr>
        <w:t>E. 3.2</w:t>
      </w:r>
    </w:p>
    <w:p>
      <w:r>
        <w:t>Art. 147 Abs. 1 Satz 1 StPO normiert den Grundsatz der Parteiöffentlichkeit der Beweiserhebungen im Untersuchungs- und im Hauptverfahren und bestimmt, dass die Parteien das Recht haben, bei Beweiserhebungen durch die Staatsan- waltschaft und die Gerichte anwesend zu sein und den einvernommenen Perso- nen Fragen zu stellen. Das Anwesenheitsrecht dient zunächst der Transparenz. Es ermöglicht den Parteien, das Zustandekommen von belastenden Aussagen und deren Protokollierung nachzuvollziehen. Darüber hinaus erhalten die Parteien die Gelegenheit, die Beweiserhebung zu beeinflussen. Es handelt sich um eine Verfahrensgarantie, welche aus deren Subjektstellung im Verfahren folgt und der (Teilhabe an der) prozessualen Wahrheitsfindung und damit der Legitimation des</w:t>
      </w:r>
    </w:p>
    <w:p>
      <w:r>
        <w:t>- 10 - Urteils dient. Die Teilnahme wird als Konkretisierung des rechtlichen Gehörs (Art. 29 Abs. 2 BV) auch durch Art. 32 Abs. 2 BV gewährleistet, wonach jede an- geklagte Person die Möglichkeit haben muss, ihre Verteidigungsrechte geltend zu machen. Das Recht, dem Belastungszeugen Fragen zu stellen, wird der angeklagten Per- son explizit von Art. 6 Ziff. 3 lit. d EMRK garantiert. Das Konfrontationsrecht im Sinne der genannten Bestimmung bildet einen besonderen – strafverfahrensbezo- genen – Aspekt der allgemeinen Fair Trial-Garantie nach Art. 6 Ziff. 1 EMRK. Die Partei erhält damit die Gelegenheit, die Glaubhaftigkeit einer Aussage prüfen und den Beweiswert in kontradiktorischer Weise auf die Probe und in Frage stellen zu können. In diesem Sinne soll mit Art. 6 Ziff. 3 lit. d EMRK ausgeschlossen wer- den, dass ein Strafurteil auf Aussagen von Zeugen abgestützt wird, ohne dass dem Beschuldigten wenigstens einmal angemessene und hinreichende Gelegen- heit gegeben wurde, das Zeugnis in Zweifel zu ziehen und Fragen an den Zeugen zu stellen. Art. 6 Ziff. 3 lit. d EMRK bildet allerdings eine Mindestgarantie, über die Art. 147 Abs. 1 StPO als Ausgleich zur starken Stellung der Staatsanwaltschaft im Vorverfahren und im Hinblick auf die beschränkte Unmittelbarkeit des Hauptver- fahrens – in Bezug auf den Anwendungsbereich (bereits ab dem Untersuchungs- verfahren und grundsätzlich bei jeder Beweiserhebung) und den teilnahmebe- rechtigten Personenkreis (sämtliche Verfahrensparteien) – hinausgeht. Entspre- chend hat eine Verletzung des Teilnahmerechts auch bei Wiederholung der Be- weiserhebung die Unverwertbarkeit früherer Aussagen zur Folge. Grundsätzliche Kongruenz besteht faktisch spezifisch betreffend den Anspruch auf Wiederholung der Beweiserhebung nach Art. 147 Abs. 3 StPO (SCHLEIMINGER/SCHAFFNER, in: Niggli/Heer/Wiprächtiger [Hrsg.], Basler Kommentar StPO, 3. Auflage, Basel 2023, N 3-4 zu Art. 147 StPO).</w:t>
      </w:r>
    </w:p>
    <w:p>
      <w:r>
        <w:rPr>
          <w:b/>
        </w:rPr>
        <w:t>E. 3.3</w:t>
      </w:r>
    </w:p>
    <w:p>
      <w:r>
        <w:t>Beweise, die in Verletzung der Teilnahmerechte der Beschuldigten erho- ben worden sind, dürfen nicht zu ihren Lasten verwertet werden (Art. 147 Abs. 4 StPO; zum Ganzen: BGE 150 IV 345 E. 1.6.3). Die Verletzung des Teilnahme- rechts bei Erhebungen entlastender oder neutraler Beweise zeitigt jedoch keine Rechtsfolge (SCHLEIMINGER/SCHAFFNER, a.a.O., N 41 zu Art. 147 StPO).</w:t>
      </w:r>
    </w:p>
    <w:p>
      <w:r>
        <w:t>- 11 -</w:t>
      </w:r>
    </w:p>
    <w:p>
      <w:r>
        <w:rPr>
          <w:b/>
        </w:rPr>
        <w:t>E. 4</w:t>
      </w:r>
    </w:p>
    <w:p>
      <w:r>
        <w:t>Gegen diesen Entscheid führte die Beschuldigte Beschwerde ans Bundes- gericht und beantragte einen Freispruch, eventualiter die Rückweisung des Falles an das hiesige Gericht zur Neubeurteilung (Urk. 93/2). Das Bundesgericht hiess die Beschwerde der Beschuldigten mit Urteil vom 28. Dezember 2023 gut und wies den Fall zur Neubeurteilung zurück (Urk. 98 S. 17).</w:t>
      </w:r>
    </w:p>
    <w:p>
      <w:r>
        <w:rPr>
          <w:b/>
        </w:rPr>
        <w:t>E. 5</w:t>
      </w:r>
    </w:p>
    <w:p>
      <w:r>
        <w:t>Mit Präsidialverfügung vom 22. Februar 2024 wurde den Parteien Frist an- gesetzt, um Beweisanträge zu stellen und zu erklären, ob sie mit der Durchfüh-</w:t>
      </w:r>
    </w:p>
    <w:p>
      <w:r>
        <w:t>- 6 - rung des schriftlichen Verfahrens einverstanden seien (Urk. 101). In der Folge er- klärten sich alle Parteien mit der Durchführung des schriftlichen Verfahrens ein- verstanden (Urk. 103 bis Urk. 105). Der Privatkläger und die Staatsanwaltschaft verzichteten auf Beweisanträge (Urk. 104 und Urk. 105). Die Beschuldigte ver- langte Einsicht in die Akten des konnexen Strafbefehlsverfahrens gegen den Pri- vatkläger (Urk. 103). Die entsprechenden Akten wurden beigezogen (Urk. 109) und der Verteidigung zugestellt (vgl. Urk. 112).</w:t>
      </w:r>
    </w:p>
    <w:p>
      <w:r>
        <w:rPr>
          <w:b/>
        </w:rPr>
        <w:t>E. 6</w:t>
      </w:r>
    </w:p>
    <w:p>
      <w:r>
        <w:t>Mit Präsidialverfügung vom 12. März 2024 wurde das schriftliche Verfahren angeordnet (Urk. 106). Am 21. Mai 2024 reichte die Beschuldigte ihre Anträge und deren Begründung ein (Urk. 114). Die Staatsanwaltschaft verzichtete darauf- hin auf Vernehmlassung (Urk. 117). Der Privatkläger dagegen beantwortete unter dem 15. Juni 2024 die Eingabe der Beschuldigten (Urk. 118), worauf ein zweiter Schriftenwechsel zwischen der Beschuldigten und dem Privatkläger stattfand (Urk. 122; Urk. 123/1 und Urk. 126). Schliesslich ging mit Eingabe vom 30. August 2024 noch eine Stellungnahme der Beschuldigten ein (Urk. 130 und Urk. 131).</w:t>
      </w:r>
    </w:p>
    <w:p>
      <w:r>
        <w:rPr>
          <w:b/>
        </w:rPr>
        <w:t>E. 7</w:t>
      </w:r>
    </w:p>
    <w:p>
      <w:r>
        <w:t>Das Verfahren erweist sich als spruchreif. Das Urteil erging nach Zirkulation am 15. Januar 2025. II. Prozessuales 1. Umfang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