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SB230557 vom 4. Oktober 2024</w:t>
      </w:r>
    </w:p>
    <w:p>
      <w:r>
        <w:t>ZH Obergericht, 2024-10-04, DE</w:t>
      </w:r>
    </w:p>
    <w:p>
      <w:r>
        <w:rPr>
          <w:b/>
        </w:rPr>
        <w:t xml:space="preserve">Quelle: </w:t>
      </w:r>
      <w:r>
        <w:t>https://mcp.opencaselaw.ch/entscheid/zh_obergericht_SB230557</w:t>
      </w:r>
    </w:p>
    <w:p>
      <w:r>
        <w:t>FR: ZH_OBERGERICHT SB230557 du 4 octobre 2024</w:t>
      </w:r>
    </w:p>
    <w:p>
      <w:r>
        <w:t>IT: ZH_OBERGERICHT SB230557 del 4 ottobre 2024</w:t>
      </w:r>
    </w:p>
    <w:p>
      <w:pPr>
        <w:pStyle w:val="Heading2"/>
      </w:pPr>
      <w:r>
        <w:t>Erwägungen</w:t>
      </w:r>
    </w:p>
    <w:p>
      <w:r>
        <w:rPr>
          <w:b/>
        </w:rPr>
        <w:t>E. 1</w:t>
      </w:r>
    </w:p>
    <w:p>
      <w:r>
        <w:t>Mit Urteil vom 13. Juli 2023 sprach das Bezirksgericht Zürich, 7. Abteilung, die Beschuldigte entsprechend dem vorstehend zitierten Dispositiv des gewerbsmäs- sigen Betrugs im Sinne von Art. 146 Abs. 1 StGB in Verbindung mit aArt. 146 Abs. 2 StGB schuldig und bestrafte sie unter Ansetzung einer Probezeit von 4 Jah- ren mit einer bedingten Freiheitsstrafe von 21 Monaten. Die mit Strafbefehl der Staatsanwaltschaft See/Oberland vom 17. September 2018 bedingt ausgefällte Geldstrafe von 180 Tagessätzen zu Fr. 50.– widerrief die Vorinstanz. Darüber hin- aus verwies sie die Beschuldigte für die Dauer von 6 Jahren des Landes. Ferner wurde über die Schadenersatzforderung der Privatklägerin B._____ entschieden. Schliesslich wurde über die beschlagnahmte Barschaft sowie die Kosten- und Ent- schädigungsfolgen befunden (Urk. 64 S. 32 ff.).</w:t>
      </w:r>
    </w:p>
    <w:p>
      <w:r>
        <w:rPr>
          <w:b/>
        </w:rPr>
        <w:t>E. 1.1</w:t>
      </w:r>
    </w:p>
    <w:p>
      <w:r>
        <w:t>Die Vorinstanz belegte die Beschuldigte mit einer Landesverweisung für die Dauer von 6 Jahren (Urk. 64 S. 33).</w:t>
      </w:r>
    </w:p>
    <w:p>
      <w:r>
        <w:rPr>
          <w:b/>
        </w:rPr>
        <w:t>E. 1.2</w:t>
      </w:r>
    </w:p>
    <w:p>
      <w:r>
        <w:t>Die Beschuldigte beantragt demgegenüber – wie bereits vor Vorinstanz – ein Absehen von der Landesverweisung mit der Begründung, dass im Falle einer Ka- talogtat im Sinne von Art. 66 Abs. 1 StGB ein schwerer persönlicher Härtefall vor- liege, der das öffentliche Interesse an einer längerfristigen Wegweisung der Be- schuldigten aus der Schweiz überwiege (Prot. I S. 34 f.; Urk. 85 S. 7 ff.). 2. Beurteilung</w:t>
      </w:r>
    </w:p>
    <w:p>
      <w:r>
        <w:rPr>
          <w:b/>
        </w:rPr>
        <w:t>E. 1.3</w:t>
      </w:r>
    </w:p>
    <w:p>
      <w:r>
        <w:t>Der Beschuldigten wird bezüglich Dossier 3 vorgeworfen, die †Privatklägerin 2 am 30. November 2020 telefonisch zur Vereinbarung eines Treffens für denselben Tag kontaktiert zu haben. Sie habe ihr gegenüber erneut angegeben, Geld zu be- nötigen, welches die †Privatklägerin 2 zum Treffen mitbringen solle. Dies habe die Beschuldigte gesagt, um möglichst viel Bargeld von der †Privatklägerin 2 zu erhal- ten, wobei es jedoch nicht zu diesem Treffen gekommen sei (Urk. D1/42/4 S. 6). 2. Anklagegrundsatz In Abweichung zur rechtlichen Würdigung der Staatsanwaltschaft, welche das an- geklagte Verhalten der Beschuldigten als mehrfachen, teilweise versuchten Betrug gemäss Art. 146 Abs. 1 StGB, teilweise in Verbindung mit Art. 22 Abs.1 StGB qua- lifizierte, erkannte die Vorinstanz auf Gewerbsmässigkeit des Betrugs im Sinne von Art. 146 Abs. 2 StGB (Urk. 64 S. 11 und 15). Die zutreffenden Erwägungen der Vor- instanz, wonach eine abweichende rechtliche Würdigung vorliegend dem Anklage- prinzip standhalte (Urk. 64 S. 11), sind dahingehend zu ergänzen, dass die Ankla- geschrift nach dem in Art. 9 Abs. 1 StPO festgeschriebenen Anklagegrundsatz den Gegenstand des Gerichtsverfahrens bestimmt (Umgrenzungsfunktion). Die An- klage hat die der beschuldigten Person zur Last gelegten Delikte in ihrem Sachver- halt so präzise zu umschreiben, dass die Vorwürfe in objektiver und subjektiver Hinsicht genügend konkretisiert sind. Zugleich bezweckt der Anklagegrundsatz den Schutz der Verteidigungsrechte der beschuldigten Person und garantiert den An- spruch auf rechtliches Gehör (Informationsfunktion; BGE 144 I 234 E. 5.6.1; 143 IV 63 E. 2.2; je mit Hinweisen). Die beschuldigte Person muss aus der Anklage erse- hen können, was ihr konkret vorgeworfen wird, damit sie ihre Verteidigungsrechte angemessen ausüben kann. Dies bedingt eine zureichende, d.h. möglichst kurze,</w:t>
      </w:r>
    </w:p>
    <w:p>
      <w:r>
        <w:t>- 10 - aber genaue (Art. 325 Abs. 1 lit. f StPO) Umschreibung der Sachverhaltselemente, die für eine Subsumtion unter die anwendbaren Straftatbestände erforderlich sind. Entscheidend ist, dass die betroffene Person genau weiss, welcher konkreter Handlung sie beschuldigt und wie ihr Verhalten rechtlich qualifiziert wird, damit sie sich in ihrer Verteidigung richtig vorbereiten kann (BGE 143 IV 63 E. 2.2; Urteile des Bundesgerichtes 7B_240/2022 vom 1. Februar 2024 E. 3.2; 6B_594/2022 vom</w:t>
      </w:r>
    </w:p>
    <w:p>
      <w:r>
        <w:rPr>
          <w:b/>
        </w:rPr>
        <w:t>E. 2</w:t>
      </w:r>
    </w:p>
    <w:p>
      <w:r>
        <w:t>Mit Eingabe vom 14. Juli 2023 liess die Beschuldigte die Berufung gegen das vorinstanzliche Urteil anmelden (Urk. 58) und nach Erhalt der begründeten Urteils- ausfertigung am 17. November 2023 fristgerecht die Berufungserklärung erstatten</w:t>
      </w:r>
    </w:p>
    <w:p>
      <w:r>
        <w:t>- 5 - (Urk. 66). Innert der mit Präsidialverfügung vom 21. November 2023 angesetzten Frist, um die Anschlussberufung zu erklären oder einen Antrag auf Nichteintreten der Berufung zu stellen (Urk. 68), verzichtete die Staatsanwaltschaft auf die An- schlussberufung, ersuchte um Bestätigung des vorinstanzlichen Urteils und bean- tragte die Dispensation von der Teilnahme an der Berufungsverhandlung, was ihr bewilligt wurde (Urk. 70). Die Privatklägerin 1 liess sich innert Frist nicht verneh- men. Am 20. August 2024 teilte der Neffe der †Privatklägerin 2 mit, dass diese am</w:t>
      </w:r>
    </w:p>
    <w:p>
      <w:r>
        <w:rPr>
          <w:b/>
        </w:rPr>
        <w:t>E. 2.1</w:t>
      </w:r>
    </w:p>
    <w:p>
      <w:r>
        <w:t>Die Entscheidgebühr für das Berufungsverfahren ist auf Fr. 3'600.– zu veran- schlagen (Art. 424 Abs. 1 StPO in Verbindung mit § 16 Abs. 1 und § 14 Abs. 1 lit. b GebV OG).</w:t>
      </w:r>
    </w:p>
    <w:p>
      <w:r>
        <w:rPr>
          <w:b/>
        </w:rPr>
        <w:t>E. 2.2</w:t>
      </w:r>
    </w:p>
    <w:p>
      <w:r>
        <w:t>Die amtliche Verteidigung macht für ihre Bemühungen und Barauslagen im Berufungsverfahren insgesamt Fr. 5'732.60 (inkl. MWST) geltend (Urk. 83). Der be- triebene Zeitaufwand ist ausgewiesen und erscheint der Schwierigkeit und Bedeu- tung des Falles angemessen. Allerdings wurden einzelne Positionen in der Hono- rarnote zu einem höheren Stundenansatz als dem in § 3 AnwGebV vorgeschriebe- nen Ansatz von Fr. 220.– pro Stunde verrechnet (vgl. Positionen vom 4. Oktober 2024). Nach Bereinigung dieses Fehlers resultiert ein Honorar von insgesamt Fr. 5'114.25. Da die Berufungsverhandlung eine halbe Stunde kürzer dauerte als die amtliche Verteidigung bei Erstellung ihrer Honorarnote antizipierte (2.5 Stunden anstatt 3 Stunden; vgl. Prot. II S. 4 und 20; Urk. 83 S. 3), erscheint es angemessen, ihr eine Entschädigung von abgerundet Fr. 5'100.– (inkl. MWST) für ihre Leistungen und Barauslagen im Berufungsverfahren aus der Gerichtskasse zuzusprechen.</w:t>
      </w:r>
    </w:p>
    <w:p>
      <w:r>
        <w:rPr>
          <w:b/>
        </w:rPr>
        <w:t>E. 2.3</w:t>
      </w:r>
    </w:p>
    <w:p>
      <w:r>
        <w:t>Die zweitinstanzlichen Kosten der amtlichen Verteidigung sind auf die Ge- richtskasse zu nehmen, wobei die Rückzahlungspflicht der Beschuldigten gemäss Art. 135 Abs. 4 StPO vorbehalten bleibt. Es wird beschlossen: 1. Es wird festgestellt, dass das Urteil des Bezirksgerichtes Zürich, 7. Abtei- lung, vom 13. Juli 2023 bezüglich der Dispositivziffern 4 (Widerruf), 6 (Scha- denersatzbegehren der Privatklägerin 1), 7 (Einziehung), 8 und 9 (Entschä- digungen amtliche Verteidigungen) sowie 10 bis 13 (Kostendispositiv) in Rechtskraft erwachsen ist. 2. Mündliche Eröffnung und schriftliche Mitteilung mit nachfolgendem Urteil.</w:t>
      </w:r>
    </w:p>
    <w:p>
      <w:r>
        <w:t>- 34 - Es wird erkannt: 1. Die Beschuldigte A._____ ist schuldig des gewerbsmässigen Betrugs im Sinne von Art. 146 Abs. 1 StGB in Verbindung mit aArt. 146 Abs. 2 StGB. 2. Die Beschuldigte wird bestraft mit 21 Monaten Freiheitsstrafe, wovon 41 Tage durch Haft erstanden sind. 3. Der Vollzug der Freiheitsstrafe wird aufgeschoben und die Probezeit auf 4 Jahre festgesetzt. 4. Die Beschuldigte wird im Sinne von Art. 66a Abs. 1 lit. c StGB für 6 Jahre des Landes verwiesen. 5. Die zweitinstanzliche Gerichtsgebühr wird festgesetzt auf: Fr. 3'200.– ; die weiteren Kosten betragen: Fr. 5'100.– amtliche Verteidigung (inkl. 7,7 % bzw. 8,1 % MWST). 6. Die Kosten des Berufungsverfahrens, mit Ausnahme jener der amtlichen Verteidigung, werden der Beschuldigten auferlegt. Die Kosten der amtlichen Verteidigung werden auf die Gerichtskasse genommen. Die Rückzahlungs- pflicht der Beschuldigten gemäss Art. 135 Abs. 4 StPO bleibt vorbehalten. 7. Mündliche Eröffnung und schriftliche Mitteilung im Dispositiv an die amtliche Verteidigung im Doppel für sich und zuhanden der  Beschuldigten (übergeben) die Staatsanwaltschaft See/Oberland  das Migrationsamt des Kantons Zürich  die Privatklägerin 1 (B._____)  C._____, … [Adresse], zuhanden der Erbengemeinschaft der  †Privatklägerin 2 (Q._____) (Eine begründete Urteilsausfertigung gemäss Art. 84 Abs. 4 StPO wird der Privatklägerin 1 bzw. der Erbengemeinschaft der †Privatklägerin 2 nur zugestellt, sofern sie dies innert 10 Tagen nach Erhalt des Dispositivs verlangen.) sowie in vollständiger Ausfertigung an</w:t>
      </w:r>
    </w:p>
    <w:p>
      <w:r>
        <w:t>- 35 - die amtliche Verteidigung im Doppel für sich und zuhanden der  Beschuldigten die Staatsanwaltschaft See/Oberland  die Privatklägerin 1 bzw. die Erbengemeinschaft der †Privatklägerin 2  (sofern verlangt) und nach unbenütztem Ablauf der Rechtsmittelfrist bzw. Erledigung allfälli- ger Rechtsmittel an die Vorinstanz  das Migrationsamt des Kantons Zürich  die Staatsanwaltschaft See/Oberland betr. Untersuchungs-  Nr. … die Koordinationsstelle VOSTRA/DNA mit dem Formular "Löschung  des DNA-Profils und Vernichtung des ED-Materials" zwecks Löschung des DNA-Profils die Koordinationsstelle VOSTRA/DNA mit Formularen A und B.  8. 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- 36 - Obergericht des Kantons Zürich II. Strafkammer Zürich, 4. Oktober 2024 Der Präsident: Die Gerichtsschreiberin: Oberrichter lic. iur. Spiess MLaw Boese</w:t>
      </w:r>
    </w:p>
    <w:p>
      <w:r>
        <w:rPr>
          <w:b/>
        </w:rPr>
        <w:t>E. 2.4</w:t>
      </w:r>
    </w:p>
    <w:p>
      <w:r>
        <w:t>Die Beschuldigte hat in Österreich lediglich die Mittelschule abgeschlossen und verfügt über keine Berufsausbildung. Ab Februar 2023 arbeitete sie während rund einem Jahr als Sekretariatsmitarbeiterin in der Kanzlei von Rechtsanwalt Dr. iur. J._____, bis ihr Anstellungsverhältnis aus Gründen, die beim Arbeitgeber lagen, per Ende April 2024 aufgelöst wurde. Seit dem 1. Juli 2024 ist sie neu als Mitarbeiterin in der Administration bei der K._____ GmbH tätig und erzielt ein mo- natliches Nettoeinkommen von Fr. 4'576.– (zzgl. 13. Monatslohn; Urk. D1/3/5 S. 11 f.; Urk. 80/1+2; Urk. 80/4; Prot. I S. 8 ff.; Prot. II S. 8 f.). Dementsprechend kann die Beschuldigte in wirtschaftlicher Hinsicht durchaus als integriert gelten, wobei fest- zuhalten ist, dass sie ohne Weiteres auch im Ausland einer vergleichbaren Er- werbstätigkeit nachgehen kann. Mit den Arbeitsverhältnissen in Österreich ist die Beschuldigte aufgrund ihrer regelmässigen Aufenthalte dort besonders vertraut und verfügt zudem über familiäre und andere soziale Kontakte, die sie dabei unterstüt- zen könnten, wirtschaftlich Fuss zu fassen und sich in den österreichischen Arbeits- markt zu integrieren. Die Beschuldigte weist kein nennenswertes Vermögen auf und hat Schulden bei ihrer Familie im Betrag von rund Fr. 25'000.– (Prot. I S. 8 f.; Prot. II S. 10).</w:t>
      </w:r>
    </w:p>
    <w:p>
      <w:r>
        <w:t>- 28 -</w:t>
      </w:r>
    </w:p>
    <w:p>
      <w:r>
        <w:rPr>
          <w:b/>
        </w:rPr>
        <w:t>E. 2.5</w:t>
      </w:r>
    </w:p>
    <w:p>
      <w:r>
        <w:t>In Bezug auf ihre persönlichen Beziehungen gab die Beschuldigte an, dass in der Schweiz namentlich zwei Onkel und insgesamt vier Cousins (jeweils mit ihren Partnerinnen und Kindern) leben würden. Weiter pflege sie viele Freundschaften hierzulande, wobei ihre diesbezüglichen Ausführungen vage blieben (Prot. I S. 11 f. und 18; Prot. II S. 10 und 13; vgl. auch Urk. D1/3/5 S. 14), weshalb nicht von be- sonders intensiven, über eine normale Integration hinausgehenden privaten Bezie- hungen zur Schweiz auszugehen ist, welche einen schweren persönlichen Härtefall begründen könnten. Die Eltern der Beschuldigten, zu denen sie eine gute Bezie- hung pflegt und die sie sowohl in finanzieller als auch in persönlicher Hinsicht un- terstützten, leben weiterhin in Österreich. Die Geschwister der Beschuldigten sind gemäss ihren Angaben mittlerweile nach Deutschland migriert (Urk. D1/3/5 S. 13 f.; Prot. II S. 10 und 13). Vor diesem Hintergrund steht einer erfolgreichen Resoziali- sierung in den deutschsprachigen Nachbarländern und insbesondere in Österreich grundsätzlich nichts im Wege, zumal die Beschuldigte den Grossteil ihres Leben dort verbrachte.</w:t>
      </w:r>
    </w:p>
    <w:p>
      <w:r>
        <w:rPr>
          <w:b/>
        </w:rPr>
        <w:t>E. 2.6</w:t>
      </w:r>
    </w:p>
    <w:p>
      <w:r>
        <w:t>In persönlicher Hinsicht gilt es weiter zu bemerken, dass die Beschuldigte am tt. August 2024 ihren Partner M._____ geheiratet hat, mit dem sie zuvor bereits seit mehreren Jahren eine Beziehung führte (Urk. 80/5-10; Prot. II S. 9). Zunächst ist hervorzuheben, dass M._____ um die Möglichkeit wusste, dass die Beschul- digte für mehrere Jahre aus der Schweiz verwiesen werden könnte, als er die Ehe mit ihr einging. Weiter wäre es ihm durchaus zumutbar, mit der Beschuldigten ins Ausland zu ziehen und zusammen mit ihr beispielsweise in Österreich eine neue Existenz aufzubauen, zumal sich die Lebens- und Arbeitsverhältnisse im Heimat- land der Beschuldigten nicht stark von denjenigen in der Schweiz unterscheiden, er in sprachlicher Hinsicht keine Hürden zu überwinden hätte und seiner berufli- chen Tätigkeit als Versicherungsberater ohne Weiteres auch dort nachgehen könnte (vgl. Prot. II S. 12). Sollte er sich hingegen für einen Verbleib in der Schweiz entscheiden, wäre es der Beschuldigten und ihm ohne Weiteres zuzumuten, die Beziehung grenzüberschreitend über die relativ kurze Distanz zum Nachbarland Österreich hinweg aufrechtzuerhalten bzw. zu pflegen, sei es in Form von kürzeren Besuchen, gemeinsamen Ferien oder über die modernen Kommunikationsmittel, auch wenn dies keinen gleichwertigen Ersatz für die bislang gelebte Beziehung</w:t>
      </w:r>
    </w:p>
    <w:p>
      <w:r>
        <w:t>- 29 - bildet. Nicht unberücksichtigt bleiben kann ferner, dass die Beschuldigte minder- jährige Kinder hat. In der Untersuchung gab sie zu Beginn noch an, vier Kinder zu haben (vgl. Urk. D1/3/2 S. 10), was sie vor Schranken der Vorinstanz und anläss- lich der Berufungsverhandlung hingegen verneinte mit der Erklärung, sie habe le- diglich zwei Kinder, die mit ihr zusammenleben würden. Da die Beschuldigte wei- tere Ausführungen zu dieser Thematik verweigerte (Prot. I S. 17 f.; Prot. II S. 9 und 15; vgl. auch Urk. D1/3/5 S. 13), ist diese Frage nicht restlos geklärt. Jedenfalls sind zwei Kinder, O._____ (Jahrgang 2015) und P._____ (Jahrgang 2017), in der Schweiz angemeldet und befinden sich im schulpflichtigen Alter. Zum Zeitpunkt der Berufungsverhandlung besuchte O._____ die dritte Klasse der Primarschule, während P._____ gerade vom Kindergarten in die erste Klasse übergetreten war (Prot. II S. 9 f., 14 und 17). Beide Kinder wurden in Österreich geboren und ver- brachten auch einen beachtlichen Teil ihrer Kindheit dort. Wie häufig sie sich seit ihrer Geburt hierzulande aufhielten, ist hingegen unklar, nachdem die Beschuldigte anlässlich der Berufungsverhandlung ausführte, die Kinder seien mit ihr zwischen der Schweiz und Österreich hin und her gependelt (Prot. II S. 13 f.; vgl. auch Prot. I S. 18 ff.). Fest steht jedenfalls, dass die beiden Kinder auch in Österreich von den Grosseltern betreut wurden, ehe die Beschuldigte sie per August 2022 zu sich in die Schweiz holte, damit sie hierzulande in den Kindergarten (P._____) resp. die erste Klasse (O._____) eingeschult werden konnten (Urk. 64 S. 27; Prot. II S. 14). Der Kindsvater lebte zunächst weiterhin in Österreich, bis er zu einem unbekann- ten Zeitpunkt vorgängig zur Berufungsverhandlung nach Serbien zog (Urk. D1/3/5 S. 13; Prot. I S. 18 f.; Prot. II S. 13). Mithin haben die beiden Kinder der Beschul- digten den Grossteil ihres bisherigen Lebens in Österreich verbracht, leben erst seit rund zweieinhalb Jahren dauerhaft in der Schweiz und stehen noch am Anfang ihrer schulischen Laufbahn, weshalb ein Umzug zurück in ihr Heimatland als zu- mutbar erscheint, auch wenn ein (erneuter) Wechsel des Wohnsitzes, der Schule und des übrigen Umfelds für sie eine gewisse Härte mit sich bringt. Dementspre- chend steht das Recht auf Achtung des Familienlebens gemäss Art. 13 BV bzw. Art. 8 EMRK vorliegend einer Landesverweisung nicht entgegen. Zusammenfas- send ist nach dieser Gesamtbetrachtung bei der Beschuldigten kein schwerer per- sönlicher Härtefall im Sinne von Art. 66a Abs. 2 StGB ersichtlich.</w:t>
      </w:r>
    </w:p>
    <w:p>
      <w:r>
        <w:t>- 30 -</w:t>
      </w:r>
    </w:p>
    <w:p>
      <w:r>
        <w:rPr>
          <w:b/>
        </w:rPr>
        <w:t>E. 2.7</w:t>
      </w:r>
    </w:p>
    <w:p>
      <w:r>
        <w:t>Der Vollständigkeit halber ist schliesslich festzuhalten, dass selbst bei der An- nahme, dass ein schwerer persönlicher Härtefall in casu noch knapp gegeben wäre, ernsthafte öffentliche Interessen an einer Ausweisung der Beschuldigten be- stehen, welche ihren Interessen an einem Verbleib in der Schweiz entgegenstehen. Die vorliegend auszusprechende Freiheitsstrafe bewegt sich in der Nähe der bun- desgerichtlichen Zweijahresregel (vgl. Urteil 7B_236/2022 vom 27. Oktober 2023 E. 2.7). Hinzu kommt, dass die Beschuldigte einschlägig vorbestraft ist und sich sowohl bei der in der Vergangenheit verübten Tat als auch bei denjenigen, die Ge- genstand dieses Verfahrens bilden, ganz gezielt besonders schutzbedürftige Opfer aussuchte, welche sie hernach – einem dreisten und perfiden Tatmuster folgend – am Vermögen schädigte. Es trifft zwar zu, dass die vorliegend zu beurteilenden Taten mittlerweile vier Jahre und mehr zurückliegen und sich die Beschuldigte wäh- rend dieser Zeit – soweit ersichtlich – wohlverhalten hat (Urk. 85 S. 10). Dies steht der Anordnung einer Landesverweisung jedoch nicht entgegen (BGE 144 IV 168 E. 1.4.1; mit Hinweisen), zumal bei der Härtefallprüfung und einer (allfälligen) Inter- essenabwägung betreffend die Landesverweisung andere, strengere Kriterien und Massstäbe entscheidend sind, als bei der Prüfung der Bewährungsaussichten (Ur- teile des Bundesgerichtes 6B_760/2022 vom 5. Juni 2023 E. 5.3.6; 6B_513/2021 vom 31. März 2022 E. 1.5.3; 6B_460/2021 vom 9. Juni 2021 E. 5.4). Insgesamt überwiegen die öffentlichen Interessen an der Anordnung einer Landesverweisung die privaten Interessen der Beschuldigten am Verbleib in der Schweiz. 3. Freizügigkeitsabkommen 3.1. Die Vorinstanz hat die rechtstheoretischen Grundlagen zur Vereinbarkeit der Landesverweisung mit dem Freizügigkeitsabkommen zutreffend wiedergegeben, weshalb zur Vermeidung von Wiederholungen darauf verwiesen werden kann (Urk. 64 S. 28 f.). Hervorzuheben ist in diesem Zusammenhang, dass aus einer Pro- gnose des künftigen Wohlverhaltens des Täters folgt, ob die öffentliche Ordnung und Sicherheit (weiterhin) gefährdet ist. Dabei ist nach Art und Ausmass der mögli- chen Rechtsgüterverletzung zu differenzieren: Je schwerer die Gefährdung, desto niedriger die Anforderungen an die in Kauf zu nehmende Rückfallgefahr. Ein gerin- ges, aber tatsächlich vorhandenes Rückfallrisiko kann für eine aufenthaltsbeen-</w:t>
      </w:r>
    </w:p>
    <w:p>
      <w:r>
        <w:t>- 31 - dende Massnahme im Sinne von Art. 5 Abs. 1 Anhang I FZA genügen, sofern dieses Risiko eine schwere Verletzung hoher Rechtsgüter wie beispielsweise die körperli- che Unversehrtheit beschlägt (BGE 145 IV 364 E. 3.5.2; Urteile des Bundesgerich- tes 6B_205/2023 vom 17. August 2023 E. 1.4.1; 6B_244/2021 vom 17. April 2023 E. 6.3.6 und 6B_134/2021 vom 20. Juni 2022 E. 5.3.6; je mit Hinweisen). 3.2. Vorliegend war unmittelbar nur das Vermögen der beiden Privatklägerinnen betroffen und nicht besonders hohe Rechtsgüter wie die psychische, physische oder sexuelle Integrität, weshalb höhere Anforderungen an die Rückfallgefahr bzw. die Legalprognose zu stellen sind (Urteile des Bundesgerichtes 6B_205/2023 vom</w:t>
      </w:r>
    </w:p>
    <w:p>
      <w:r>
        <w:rPr>
          <w:b/>
        </w:rPr>
        <w:t>E. 6</w:t>
      </w:r>
    </w:p>
    <w:p>
      <w:r>
        <w:t>August 2024 verstorben sei (Urk. 74/1-2). Am 29. August 2024 erklärte C._____, Nichte und voraussichtliche Erbin der †Privatklägerin 2, unter Bezugnahme auf die Präsidialverfügung vom 23. August 2024 (Urk. 76) das fortbestehende Interesse an der Strafverfolgung (Urk. 78). 3. Am 4. Oktober 2024 fand die Berufungsverhandlung statt, zu welcher die Be- schuldigte in Begleitung ihres amtlichen Verteidigers erschien (Prot. II S. 4; vgl. auch Urk. 72). Das Berufungsurteil erging im Anschluss an die Verhandlung und wurde den Erschienenen mündlich eröffnet und im Dispositiv übergeben (Urk. 87; Prot. II S. 22 ff.). Den übrigen Parteien wurde es hernach schriftlich mitgeteilt, wobei C._____ nach vorgängiger Absprache als Empfängerin des Dispositivs für die im Urteilszeitpunkt noch nicht feststehende Erbengemeinschaft der †Privatklägerin 2 fungierte (Urk. 96; vgl. Urk. 81). II. Formelles 1. Am 1. Januar 2024 sind die infolge einer Teilrevision der Strafprozessordnung geänderten Bestimmungen in Kraft getreten. Gemäss Art. 453 Abs. 1 StPO (unver- ändert belassen) werden Rechtsmittel gegen Entscheide, die vor Inkrafttreten der neuen Bestimmungen gefällt wurden, nach bisherigem Recht beurteilt. Da der an- gefochtene Entscheid am 13. Juli 2023 und damit vor Inkrafttreten der Teilrevision erging, richtet sich das vorliegende Berufungsverfahren nach der bisherigen Straf- prozessordnung. 2. Gemäss Art. 402 StPO in Verbindung mit Art. 437 StPO wird die Rechtskraft des angefochtenen Entscheids im Umfang der Anfechtung gehemmt. Das Beru- fungsgericht überprüft das erstinstanzliche Urteil nur in den angefochtenen Punkten</w:t>
      </w:r>
    </w:p>
    <w:p>
      <w:r>
        <w:t>- 6 - (Art. 404 Abs. 1 StPO). Die nicht von der Berufung erfassten Punkte werden – unter dem Vorbehalt von Art. 404 Abs. 2 StPO – rechtskräftig. Die Beschuldigte ficht mit ihrer Berufung den Schuldpunkt (Dispositivziffer 1) betreffend die Qualifikation der Gewerbsmässigkeit an bzw. verlangt eine Bestrafung wegen mehrfachen Betrugs und versuchten Betrugs. Weiter richtet sich ihre Berufung gegen die ausgefällte Strafe (Dispositivziffern 2 und 3) und die Anordnung einer Landesverweisung (Dis- positivziffer 5; Urk. 66 S. 2; Urk. 85 S. 1 f.). Demzufolge ist das Urteil des Bezirks- gerichtes Zürich, 7. Abteilung, vom 13. Juli 2023 bezüglich der Dispositivziffern 4 (Widerruf), 6 (Schadenersatzbegehren der Privatklägerin 1), 7 (Einziehung), 8 und</w:t>
      </w:r>
    </w:p>
    <w:p>
      <w:r>
        <w:rPr>
          <w:b/>
        </w:rPr>
        <w:t>E. 9</w:t>
      </w:r>
    </w:p>
    <w:p>
      <w:r>
        <w:t>August 2023 E. 4.2.2; 6B_1416/2020 vom 30. Juni 2021 E. 1.3; je mit Hinweisen). Der Anklagegrundsatz ist verletzt, wenn die angeklagte Person für Taten verurteilt wird, bezüglich welcher die Anklageschrift den inhaltlichen Anforderungen nicht ge- nügt, oder wenn das Gericht mit seinem Schuldspruch über den angeklagten Sach- verhalt hinausgeht (vgl. BGE 145 IV 407 E. 3.3.2; Urteile des Bundesgerichtes 6B_1055/2022 vom 21. Dezember 2023 E. 2.2.1; 6B_1239/2021 vom 5. Juni 2023 E. 1.2; je mit Hinweisen). Steht die Erfüllung einer qualifizierten Tatbestandsvariante in Frage, hat die Anklage die entsprechenden Umstände, d.h. die qualifizierenden Sachverhaltselemente, an- zuführen. In Bezug auf den gewerbsmässigen Betrug sind gemäss der bundesge- richtlichen Rechtsprechung die Qualifikationsmerkmale der Gewerbsmässigkeit in der Anklageschrift zu umschreiben, mithin die Zeit und Mittel, welche die beschul- digte Person für die deliktische Tätigkeit aufwendete, die Häufigkeit der Einzelakte innerhalb eines bestimmten Zeitraums sowie die erzielten und angestrebten Ein- künfte, wobei die Nennung der Verwendung der erlangten Gelder genügt (vgl. Ur- teile des Bundesgerichtes 6B_767/2019 vom 7. April 2020 E. 1.3; 6B_709/2021 vom 12. Mai 2022 E. 1.3.2). Indem die Anklageschrift in casu den Zeitraum und die jeweiligen Einzelakte inner- halb desselben konkret umschreibt, die beabsichtige bzw. die tatsächliche Delikts- summe nennt und deren Verwendung zur Deckung des Lebensunterhalts der Be- schuldigten angibt, ist das Anklageprinzip im Sinne von Art. 9 Abs. 1 StPO auch im Falle einer von der Anklageschrift abweichenden rechtlichen Beurteilung hinsicht- lich der Gewerbsmässigkeit im Sinne von Art. 146 Abs. 2 StGB gewahrt.</w:t>
      </w:r>
    </w:p>
    <w:p>
      <w:r>
        <w:t>- 11 - 3. Standpunkt der Beschuldigten Die Beschuldigte hat den Anklagevorwurf betreffend Dossier 1 in der Untersuchung und vor Vorinstanz grundsätzlich anerkannt (Urk. D1/3/3 S. 6 f.; Urk. D1/3/5 S. 2 und 5 ff.), wobei sie im Rahmen der staatsanwaltschaftlichen Schlusseinvernahme und vor Vorinstanz in Abrede stellte, dass die Privatklägerin 1 erkennbar ein leichtes Opfer gewesen sei (Urk. D1/3/5 S. 3; Prot. I S. 23). Den Anklagevorwurf bezüglich der Dossiers 2 und 3 hat die Beschuldigte in der Untersuchung und vor Vorinstanz vollumfänglich anerkannt (Urk. D1/3/3 S. 1 ff. F/A 3 ff.; Urk. D1/3/5 S. 2; Prot. I S. 23). Anlässlich der Berufungsverhandlung blieb die Beschuldigte bei ihrem bis- herigen Standpunkt und führte erneut aus, dass sie den in der Anklageschrift um- schriebenen Sachverhalt anerkenne, wobei sie nicht mehr auf ihren früheren Ein- wand zurückkam, dass die psychische Erkrankung der Privatklägerin 1 für sie nicht erkennbar gewesen sei (Prot. II S. 15). 4. Sachverhalt 4.1. Das Geständnis der Beschuldigten hinsichtlich des angeklagten Sachverhalts gemäss Dossier 1 wird durch das übrige Beweisergebnis bestätigt. Der von der Be- schuldigten nicht anerkannte Teil des Anklagevorwurfs ist in zweiter Instanz noch- mals einer näheren Überprüfung zu unterziehen. Die Vorinstanz hat im Rahmen ihrer Ausführungen zum Sachverhalt die entsprechenden Grundsätze der Beweis- würdigung korrekt wiedergegeben (Urk. 64 S. 6 f.), sodass in Anwendung von Art. 82 Abs. 4 StPO darauf verwiesen werden kann. Zu ergänzen bleibt, dass bei Aussagen von beteiligten Personen anhand sämtlicher Umstände, die sich aus den Akten und den Verhandlungen ergeben, zu untersuchen ist, welche Sachdarstel- lung überzeugend ist, wobei es vorwiegend auf den inneren Gehalt der Aussagen ankommt, verbunden mit der Art und Weise, wie die Angaben erfolgten. Nach neu- eren Erkenntnissen kommt der allgemeinen Glaubwürdigkeit der befragten Person im Sinne einer dauerhaften personalen Eigenschaft kaum mehr Bedeutung zu. Weitaus bedeutender für die Wahrheitsfindung ist die Glaubhaftigkeit der konkreten Aussagen, welche durch eine methodische Analyse ihres Inhaltes darauf zu über- prüfen sind, ob die auf ein bestimmtes Geschehen bezogenen Angaben einem tat-</w:t>
      </w:r>
    </w:p>
    <w:p>
      <w:r>
        <w:t>- 12 - sächlichen Erleben des Befragten entspringen (BGE 133 I 33 E. 4.3 mit Hinweisen; Urteile des Bundesgerichtes 6B_764/2023 vom 19. Februar 2024 E. 2.3.2; 6B_1176/2021 vom 26. April 2023 E. 3.2). 4.2. Bei den Akten finden sich im Wesentlichen die folgenden massgeblichen und verwertbaren Beweismittel, um den strittigen Anklagesachverhalt zu prüfen: Die Einvernahmen der Beschuldigten (Urk. D1/3/3-5), diejenigen der Privatklägerin 1 (Urk. D1/4/6) sowie der Zeugin Dr. H._____, welche die damals behandelnde Psychiaterin der Privatklägerin 1 war (Urk. D1/4/7). 4.3. Hinsichtlich der Erkennbarkeit der psychischen Erkrankung der Privatkläge- rin 1 hat die Vorinstanz die massgeblichen Aussagen der Beschuldigten und der Zeugin H._____ korrekt wiedergegeben (Urk. 64 S. 7 f.). Die Privatklägerin 1 gab zu dieser Thematik in der staatsanwaltschaftlichen Einvernahme an, weder unkon- trollierte Zuckungen noch einen starren Blick zu haben und mit der Beschuldigten auch nicht über ihre psychische Situation gesprochen zu haben (Urk. D1/4/6 S. 7). Vor dem Hintergrund der nachvollziehbaren Schilderungen der behandelnden Psychiaterin der Privatklägerin 1, deren psychische Störung (paranoide Schizo- phrenie) sei aufgrund des bizarren Auftretens, der permanent auftretenden vermut- lichen Tick-Störung und eines entsprechenden Gangs auch für Dritte sichtbar – auch wenn dies die Privatklägerin 1 selbst nicht so wahrgenommen hat (vgl. Urk. D1/4/6 S. 7) –, ist davon auszugehen, dass die Beschuldigte die psychische Verfassung der Privatklägerin 1 zumindest insoweit erfasste, als sie die Privatklä- gerin 1 als für die von ihr vorgetäuschten übersinnlichen Fähigkeiten empfänglich sowie als leichtgläubig einschätzte, auch wenn sie nicht über ihre psychische Er- krankung bzw. die Diagnose gesprochen haben (vgl. Urk. D1/4/6 S. 7). Bezeich- nend erscheint denn auch, dass die Beschuldigte vor Schranken der Vorinstanz einräumte, es sei auffallend leicht gewesen, das Geld der Privatklägerin 1 erhältlich zu machen (Prot. I S. 23). Dementsprechend ist der angeklagte Sachverhalt betref- fend Dossier 1 auch hinsichtlich der Erkennbarkeit der psychischen Erkrankung der Privatklägerin 1 für die Beschuldigte erstellt. 4.4. Bezüglich der Dossiers 2 und 3 ist mit der Vorinstanz zu konstatieren, dass sich das Geständnis der Beschuldigten mit dem Untersuchungsergebnis deckt. In</w:t>
      </w:r>
    </w:p>
    <w:p>
      <w:r>
        <w:t>- 13 - diesem Zusammenhang ist auf die zutreffenden Erwägungen der Vorinstanz hin- zuweisen, wonach die †Privatklägerin 2 den Betrag von Fr. 10'000.– entgegen der Anklageschrift von ihrem Postkonto abgehoben habe (Urk. 64 S. 10), was mit Blick auf die vorstehend zitierte Rechtsprechung das Anklageprinzip im Sinne von Art. 9 Abs. 1 StPO (vgl. vorstehend Ziff. III./2.) nicht zu verletzen vermag, zumal die Be- schuldigte den Erhalt dieses Geldbetrags am besagten Datum auch bestätigte (Urk. D1/3/3 S. 2 F/A 9). IV. Rechtliche Würdigung 1. Vorbemerkungen</w:t>
      </w:r>
    </w:p>
    <w:p>
      <w:r>
        <w:rPr>
          <w:b/>
        </w:rPr>
        <w:t>E. 11</w:t>
      </w:r>
    </w:p>
    <w:p>
      <w:r>
        <w:t>Januar 2023 E. 5 und 6B_1449/2021 vom 21. September 2022 E. 3.2.3; je mit Hinweisen). Minderjährige Kinder teilen das ausländerrechtliche Schicksal des ob- hutsberechtigten Elternteils. Wird ein Kind deshalb faktisch gezwungen, die Schweiz zu verlassen, sind insbesondere auch die Schwierigkeiten zu berücksich- tigen, auf die es im Zielland treffen könnte, wobei Kindern im anpassungsfähigen Alter der Umzug in das Heimatland grundsätzlich zumutbar ist (BGE 143 I 21 E. 5.4; Urteile des Bundesgerichtes 6B_303/2024 vom 12. Juni 2024 E. 2.1.4; 6B_643/2023 vom 8. Januar 2024 E. 1.5.3). Auch für schulpflichtige Kinder erach- tet die bundesgerichtliche Rechtsprechung einen Umzug in die Heimat zusammen mit den Eltern oder einem Elternteil als zumutbar, wenn sie durch Sprachkennt- nisse, gelegentliche Ferienaufenthalte und eine entsprechende Kulturvermittlung im familiären Rahmen mit den Verhältnissen im Heimatland vertraut sind (Urteile des Bundesgerichtes 6B_399/2021 vom 13. Juli 2022 E. 1.6; 2C_357/2023 vom</w:t>
      </w:r>
    </w:p>
    <w:p>
      <w:r>
        <w:rPr>
          <w:b/>
        </w:rPr>
        <w:t>E. 12</w:t>
      </w:r>
    </w:p>
    <w:p>
      <w:r>
        <w:t>Juli 2024 E. 5.2; 2C_834/2021 vom 24. Februar 2022 E. 5.2; 2C_311/2021 vom 7. Oktober 2021 E. 4.4.2 und 2C_826/2020 vom 4. Juni 2021 E. 5.5.3; je mit Hinweisen).</w:t>
      </w:r>
    </w:p>
    <w:p>
      <w:r>
        <w:rPr>
          <w:b/>
        </w:rPr>
        <w:t>E. 17</w:t>
      </w:r>
    </w:p>
    <w:p>
      <w:r>
        <w:t>August 2023 E. 1.4; 6B_892/2022 vom 8. Juni 2023 E. 1.6). Die Beschuldigte hat mit dem gewerbsmässigen Betrug ein Delikt erheblicher Schwere begangen, wobei sie eine namhafte Deliktssumme von Fr. 51'000.– erzielte und beabsichtigte, mindestens weitere Fr. 17'000.– einzunehmen. Aus der auszufällenden Freiheits- strafe von 21 Monaten erhellt sodann, dass der Beschuldigten ein nicht mehr leich- tes strafrechtliches Verschulden zukommt, wobei der Vollzug der Strafe aufgrund der verbleibenden Zweifel hinsichtlich der künftigen Bewährung der Beschuldigten unter Ansetzung einer längeren Probezeit von vier Jahren aufzuschieben ist. Nicht unbesehen bleiben kann, dass die Beschuldigte bereits während des angeklagten Deliktszeitraums einer regelmässigen Erwerbstätigkeit nachging, von ihrer Familie unterstützt wurde und folglich ohne finanzielle Not delinquierte. Ihr Motiv bestand vielmehr darin, sich in einer schwierigen Lebenslage mit dem Deliktserlös aufzu- muntern und sich Vergnügungen wie die Teilnahme an teuren Partys finanzieren zu können. Hinzu kommt, dass die Beschuldigte mit Strafbefehl vom 17. Septem- ber 2018 bereits einschlägig vorbestraft ist und die vorliegend zu beurteilenden Taten zum Nachteil der Privatklägerin 1 nur rund ein Jahr nach ihrer Verurteilung, mithin während noch laufender Probezeit verübte. Dabei brachte sie im Grunde dieselbe dreiste Vorgehensweise zur Anwendung wie bei der Tat, für welche sie mit dem genannten Strafbefehl verurteilt worden war, obwohl sie in jenem Verfah- ren beteuert hatte, sich inskünftig gesetzeskonform zu verhalten (vgl. Beizugsak- ten, Urk. D2/7 S. 5). Die Beschuldigte schädigte somit innert kürzester Zeit ganz gezielt besonders vulnerable Opfer in ihrem Vermögen, indem sie deren spezifi- sche Schwäche bzw. Disposition kaltblütig ausnutzte. In Würdigung der Gesamt-</w:t>
      </w:r>
    </w:p>
    <w:p>
      <w:r>
        <w:t>- 32 - umstände besteht weiterhin ein erhöhtes Risiko, dass die Beschuldigte ähnliche Straftaten begehen könnte, weshalb die Anordnung einer Landesverweisung auch vor dem Hintergrund des FZA als verhältnismässig erscheint. 4. Fazit Nach dem Erwogenen ist die Beschuldigte gestützt auf Art. 66a Abs. 1 lit. c StGB obligatorisch des Landes zu verweisen. Angesichts des nicht mehr leichten Ver- schuldens und des damit korrespondierenden Strafmasses für die angeklagte Ka- talogtat sowie der wiederholten einschlägigen Delinquenz der Beschuldigten innert kürzester Zeit ist die Dauer der Landesverweisung mit der Vorinstanz auf sechs Jahre festzulegen. VIII. Kosten- und Entschädigungsfolgen 1. Die Kosten des zweitinstanzlichen Verfahrens haben die Parteien nach Mass- gabe ihres Obsiegens und Unterliegens zu tragen (Art. 428 Abs. 1 StPO). Inwiefern eine Partei im Sinne dieser Bestimmung obsiegt oder unterliegt, hängt insbeson- dere davon ab, in welchem Ausmass ihre mit der Berufungserklärung gestellten Anträge gutgeheissen werden (vgl. Urteil des Bundesgerichtes 6B_1344/2019 vom 11. März 2020 E. 2.2). Ausnahmen von der allgemeinen Kostenregelung gemäss Art. 428 Abs. 1 StPO sieht Art. 428 Abs. 2 StPO für die Fälle vor, dass die Voraus- setzung für das Obsiegen erst im Rechtsmittelverfahren geschaffen oder der ange- fochtene Entscheid nur unwesentlich abgeändert wurde. 2. Die Beschuldigte vermag sich in zweiter Instanz mit ihren Anträgen betreffend die rechtliche Qualifikation des angeklagten Sachverhalts, eine mildere Bestrafung und das Absehen von der Anordnung einer Landesweisung nicht durchzusetzen. Das erstinstanzliche Urteil ist in allen angefochtenen Punkten zu bestätigen. Somit</w:t>
      </w:r>
    </w:p>
    <w:p>
      <w:r>
        <w:t>- 33 - sind die Kosten des Berufungsverfahrens – mit Ausnahme derjenigen der amtlichen Verteidigung – vollumfänglich der Beschuldigten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