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SB230495 vom 2. Oktober 2024</w:t>
      </w:r>
    </w:p>
    <w:p>
      <w:r>
        <w:t>ZH Obergericht, 2024-10-02, DE</w:t>
      </w:r>
    </w:p>
    <w:p>
      <w:r>
        <w:rPr>
          <w:b/>
        </w:rPr>
        <w:t xml:space="preserve">Quelle: </w:t>
      </w:r>
      <w:r>
        <w:t>https://mcp.opencaselaw.ch/entscheid/zh_obergericht_SB230495</w:t>
      </w:r>
    </w:p>
    <w:p>
      <w:r>
        <w:t>FR: ZH_OBERGERICHT SB230495 du 2 octobre 2024</w:t>
      </w:r>
    </w:p>
    <w:p>
      <w:r>
        <w:t>IT: ZH_OBERGERICHT SB230495 del 2 ottobre 2024</w:t>
      </w:r>
    </w:p>
    <w:p>
      <w:pPr>
        <w:pStyle w:val="Heading2"/>
      </w:pPr>
      <w:r>
        <w:t>Erwägungen</w:t>
      </w:r>
    </w:p>
    <w:p>
      <w:r>
        <w:rPr>
          <w:b/>
        </w:rPr>
        <w:t>E. 1</w:t>
      </w:r>
    </w:p>
    <w:p>
      <w:r>
        <w:t>Mit Urteil des Bezirksgerichtes Winterthur vom 31. Mai 2023 wurde der Be- schuldigte entsprechend dem eingangs aufgeführten Dispositiv des mehrfachen Verbrechens und Vergehens gegen das Betäubungsmittelgesetz sowie der mehr- fachen Übertretung des Betäubungsmittelgesetzes schuldig gesprochen und mit einer teilbedingten Freiheitsstrafe von 36 Monaten (mit Vollzug von 12 Monaten) sowie mit einer zu bezahlenden Busse von Fr. 400.– bestraft. Es wurden zwei Vorstrafen widerrufen und der Beschuldigte mit einer Ersatzforderung von insge- samt Fr. 16'000.– belegt, während von einer Landesverweisung abgesehen wurde. Schliesslich wurde über die Beschlagnahmungen und Sicherstellungen sowie die Kosten- und Entschädigungsfolgen befunden (Urk. 53 S. 34 ff.).</w:t>
      </w:r>
    </w:p>
    <w:p>
      <w:r>
        <w:rPr>
          <w:b/>
        </w:rPr>
        <w:t>E. 2</w:t>
      </w:r>
    </w:p>
    <w:p>
      <w:r>
        <w:t>Sowohl die Staatsanwaltschaft als auch der Beschuldigte meldeten gegen das erstinstanzliche Urteil rechtzeitig die Berufung an (Urk. 45 + 47). Nach Erstat- tung der Berufungserklärungen vom 7. und 11. September 2023 (Urk. 55 + 56) so-</w:t>
      </w:r>
    </w:p>
    <w:p>
      <w:r>
        <w:t>- 9 - wie anschliessender Fristansetzung an die Parteien zwecks Erhebung von allfälli- gen Anschlussberufungen (Urk. 59) wurden keine Weiterungen beantragt, worauf auf den 10. September 2024 zur Berufungsverhandlung vorgeladen wurde (Urk. 61). Nach Beizug eines aktuellen Strafregisterauszuges wurde am 27. August 2024 der neu ergangene Strafbefehl gegen den Beschuldigten vom 25. September 2023 beigezogen und den Parteien zur Kenntnis zugestellt (vgl. Urk. 62 ff.).</w:t>
      </w:r>
    </w:p>
    <w:p>
      <w:r>
        <w:rPr>
          <w:b/>
        </w:rPr>
        <w:t>E. 3</w:t>
      </w:r>
    </w:p>
    <w:p>
      <w:r>
        <w:t>Im Gegenzug ist aufgrund dieser neuen Entwicklungen im Berufungs- verfahren festzuhalten, dass das erstinstanzliche Urteil nunmehr bezüglich der Dispositivziffern 1 (Schuldpunkt), 2 - 4 (Strafpunkt), 9 - 10 (Beschlagnahmungen</w:t>
      </w:r>
    </w:p>
    <w:p>
      <w:r>
        <w:t>- 12 - der Gegenstände), 12 (Sicherstellung der Spuren) sowie 13 - 14 (Kostenfolgen) in Rechtskraft erwachsen ist, was vorab mittels Beschluss festzustellen ist. In den nicht rechtskräftigen Punkten ist das Verdikt der Vorinstanz derweil entsprechend Art. 398 Abs. 2 StPO umfassend zu überprüfen.</w:t>
      </w:r>
    </w:p>
    <w:p>
      <w:r>
        <w:rPr>
          <w:b/>
        </w:rPr>
        <w:t>E. 4</w:t>
      </w:r>
    </w:p>
    <w:p>
      <w:r>
        <w:t>Vor der Aussprechung einer Landesverweisung vermag den Beschuldigten auch die offenbar nach wie vor bestehende Flüchtlingseigenschaft (vgl. beigezo- gene Migrationsakten, Urk. 38/39) nicht zu bewahren. Zwar sind allfällige Vollzugs- hindernisse nach mittlerweile konstanter Rechtsprechung in der Tat bereits bei der strafgerichtlichen Anordnung der Landesverweisung zu berücksichtigen, soweit die Situation stabil und die rechtliche Durchführbarkeit der Landesverweisung definitiv bestimmbar ist. Trifft dies nicht zu, so ist dem flüchtlingsrechtlichen Non- refoulement-Gebot (Art. 25 Abs. 2 BV und Art. 5 Abs. 1 AsylG) und anderen völkerrechtlich zwingenden Bestimmungen indessen erst auf der Stufe des Vollzuges der Landesverweisung gebührend Rechnung zu tragen, so dass für die Prüfung allfälliger Vollzugshindernisse, die zum Zeitpunkt des Sachurteils noch nicht definitiv feststehen, die Vollzugsbehörden zuständig sind (vgl. BGE 145 IV 455, E. 9.4.; vgl. auch Urteile 6B_33/2022 vom 9. Dezember 2022, E. 3.2.5., 6B_1368/2020 vom 30. Mai 2022, E. 4.3.1. und 6B_45/2020 vom 14. März 2022, E. 3.3.3.). Im Übrigen kann sich ein Flüchtling gemäss Art. 5 Abs. 2 AsylG i.V.m. Art. 66d Abs. 1 lit. a zweiter Teilsatz StGB ohnehin nicht auf das Rückschiebever- bot berufen, wenn erhebliche Gründe für die Annahme sprechen, dass er die Si- cherheit der Schweiz ernsthaft gefährdet bzw. als gemeingefährlich einzustufen ist, weil er wegen eines besonders schweren Verbrechens oder Vergehens rechtskräf- tig verurteilt worden ist (Urteil 6B_1042/2021 vom 24. Mai 2023, E. 5.3.3. m.w.H.). Vor diesem Hintergrund ist nun aber namentlich zu beachten, dass dem Beschul- digten der Asylstatus vor Jahren zuerkannt und zuletzt nie mehr überprüft wurde, wobei der Beschuldigte keine konkreten Hinweise zu nennen vermochte, dass er bei einer Rückkehr in sein Ursprungsland tatsächlich besonderer Strafe oder indi- vidueller Verfolgung ausgesetzt sein könnte (vgl. dazu Urk. 67 S. 14: "Es ist vorlie- gend aber nicht auszuschliessen, dass für meinen Klient in Laos ein ernsthaftes Risiko von Folter bzw. unmenschlicher Behandlung oder einer anderen schweren Menschenrechtsverletzung besteht."), was von ihm aber durchaus verlangt werden</w:t>
      </w:r>
    </w:p>
    <w:p>
      <w:r>
        <w:t>- 18 - darf, denn es ist in dieser Hinsicht jeweils unter Würdigung der Gesamtumstände des Einzelfalles zu erörtern, ob das Risiko einer unmenschlichen Strafe oder Be- handlung im Sinne von Art. 3 EMRK für den Fall einer Landesverweisung mit stich- haltigen Gründen konkret und ernsthaft glaubhaft gemacht wird (vgl. Urteile des Europäischen Gerichtshofes für Menschenrechte vom 23. März 2016, F.G. c. Schweden, Nr. 43611/11, § 113 und vom 28. Februar 2008, Saadi c. Italien, Nr. 37201/06], § 125 + 128; vgl. auch Urteile 6B_33/2022 vom 9. Dezember 2022, E. 3.2.7. und 6B_45/2020 vom 14. März 2022, E. 3.3.5.). Noch weniger im Sinne eines definitiven Vollstreckungshindernisses zu wür- digen ist sodann der von der Verteidigung monierte Umstand, dass der Beschul- digte keine laotischen Ausweisschriften mehr besitzt, welche ihn zur Einreise in sein Heimatland befähigen könnten (Urk. 41 S. 15 + 17; Urk. 67 S. 12 f.), kann doch solch administrativen Schwierigkeiten in der Praxis regelmässig mit der Aus- stellung eines besonderen Reisedokumentes begegnet werden, solange – wie vor- liegend – die Identität und Herkunft der Person nicht konkret bestritten wird. An der Möglichkeit einer Rückführung des Beschuldigten in sein Heimatland ist demzu- folge insofern nicht zu zweifeln, auch wenn derzeit (noch) kein Rückführungsab- kommen mit dem Staat Laos besteht. Es ist vor diesem Hintergrund letztlich der Vollzugsbehörde zu überlassen, im Zeitpunkt der (aufgrund der teilweisen Strafver- büssung nicht unmittelbar bevorstehenden) Ausschaffung des Beschuldigten die aktuelle Gefährdungslage des Beschuldigten und die konkreten Rückführungsmög- lichkeiten abschliessend zu prüfen und gegebenenfalls die Ausweisung in Anwen- dung von Art. 66d StGB aufzuschieben.</w:t>
      </w:r>
    </w:p>
    <w:p>
      <w:r>
        <w:rPr>
          <w:b/>
        </w:rPr>
        <w:t>E. 5</w:t>
      </w:r>
    </w:p>
    <w:p>
      <w:r>
        <w:t>Der Beschuldigte ist nach dem Gesagten angesichts der überwiegenden öf- fentlichen Interessen an seiner Ausschaffung sowie des Fehlens eines definitiven Vollzugshindernisses in Anwendung von Art. 66a Abs. 1 lit. o StGB obligatorisch des Landes zu verweisen. Was die Dauer der Verweisung anbelangt, so erscheint der Antrag der Anklagebehörde von 8 Jahren etwas zu hoch. Angesichts des mo- deraten Verschuldens im Rahmen der vorliegenden Delikte und der damit zusam- menhängenden Strafhöhe sowie der in diesem Zusammenhang ebenfalls zu be- rücksichtigenden spezifischen Interessen des in der Schweiz längeren Zeit ansäs-</w:t>
      </w:r>
    </w:p>
    <w:p>
      <w:r>
        <w:t>- 19 - sigen Beschuldigten (vgl. Urteile 6B_1079/2022 vom 8. Februar 2023, E. 9.2.1. und 6B_445/2021 vom 6. September 2021, E. 2.) erscheint es vielmehr angemessen, die Landesverweisung auf die Dauer von 7 Jahren anzusetzen.</w:t>
      </w:r>
    </w:p>
    <w:p>
      <w:r>
        <w:rPr>
          <w:b/>
        </w:rPr>
        <w:t>E. 6</w:t>
      </w:r>
    </w:p>
    <w:p>
      <w:r>
        <w:t>Die Staatsanwaltschaft hat weder im Rahmen ihrer Berufungserklärung noch anlässlich der Berufungsverhandlung eine Ausschreibung des Beschuldigten im Schengener Informationssystems (SIS) beantragt (vgl. Urk. 55 S. 3; Urk. 66 S. 1). Allerdings hat das mit der Sache befasste Gericht im Falle des Entscheides über die Landesverweisung unabhängig von einem entsprechenden Antrag der Staats- anwaltschaft zwingend auch über die Ausschreibung im SIS zu befinden. Es hat dabei die Frage materiell zu beurteilen und im Dispositiv des Strafurteils zu erwäh- nen, ob die Ausschreibung vorzunehmen ist oder ob darauf verzichtet wird (BGE 146 IV 172, E. 3.2.5.), was dem Beschuldigten anlässlich der Berufungsver- handlung auch so angezeigt worden ist (vgl. Prot. II S. 29). Zwar lässt sich mit Fug diskutieren, ob eine erstmalige Ausschreibung der Landesverweisung im Beru- fungsverfahren nicht gegen das Verbot der reformatio in peius verstösst (vgl. dazu MÄDER, a.a.O., recht 2024 S. 182 f.), doch beschlägt dies vorab die Konstellation, in welcher die Ausschreibung aufgrund einer Unachtsamkeit der Vorinstanz dann- zumal unterblieben ist und dieses Versehen in der Folge im Rechtsmittelverfahren ohne in diesem Punkt erhobene Berufung korrigiert wird, während vorliegend ein bewusstes Absehen der Vorinstanz aufgrund einer entsprechenden Berufung der Staatsanwaltschaft neu zu beurteilen ist. Bezüglich der Ausschreibung der obligatorischen Landesverweisung im Schengener Informationssystem (SIS) gilt seit BGE 147 IV 340 in materieller Hin- sicht Folgendes (E. 4.8): Art. 24 Abs. 2 Bst. a SIS-II-Verordnung setzt für die Aus- schreibung einer Landesverweisung im SIS weder eine Verurteilung zu einer Frei- heitstrafe von mindestens einem Jahr voraus, noch einen Schuldspruch wegen ei- ner Straftat, die mit einer Mindestfreiheitsstrafe von einem Jahr bedroht ist. Die Voraussetzung von Art. 24 Abs. 2 Bst. a SIS-II-Verordnung ist vielmehr bereits dann erfüllt, wenn der entsprechende Straftatbestand eine Freiheitsstrafe im Höchstmass von einem Jahr oder mehr vorsieht. Indes ist im Sinne einer kumulati- ven Voraussetzung stets zu prüfen, ob von der betroffenen Person eine Gefahr für</w:t>
      </w:r>
    </w:p>
    <w:p>
      <w:r>
        <w:t>- 20 - die öffentliche Sicherheit oder Ordnung ausgeht. Damit wird dem in Art. 21 SIS-II- Verordnung verankerten Verhältnismässigkeitsprinzip Rechnung getragen. An die Annahme einer solchen Gefahr sind jedoch keine allzu hohen Anforderungen zu stellen. Nicht verlangt wird insbesondere, dass das "individuelle Verhalten der be- troffenen Person eine tatsächliche, gegenwärtige und hinreichend schwere Gefähr- dung darstellt, die ein Grundinteresse der Gesellschaft berührt". Dass bei der Le- galprognose eine konkrete Rückfallgefahr verneint und die Strafe bedingt ausge- sprochen wurde, steht einer Ausschreibung der Landesverweisung im SIS daher nicht entgegen (vgl. Urteil 6B_739/2020 vom 14. Oktober 2020, E. 2.2.). Ebenso wenig setzt Art. 24 Abs. 2 SIS-II-Verordnung die Verurteilung zu einer "schweren" Straftat voraus, sondern es genügen eine oder mehrere Straftaten, die einzeln be- trachtet oder in ihrer Gesamtheit von einer "gewissen" Schwere sind, unter Aus- schluss von blossen Bagatelldelikten. Entscheidend ist zudem nicht das Strafmass, sondern in erster Linie die Art und Häufigkeit der Straftaten, die konkreten Tatum- stände sowie das übrige Verhalten der betroffenen Person. Insofern steht der Ausschreibung der Landesverweisung im Falle des Be- schuldigten als Angehörigem eines Staates ausserhalb des Schengen-Raumes mithin nichts entgegen, zumal er wegen (teilweise qualifizierter) Betäubungsmittel- delinquenz vorliegend zu 36 Monaten Freiheitsstrafe zu verurteilen ist. Unter Be- rücksichtigung der weiteren Tatsachen, dass der Beschuldigte mehrere, teilweise einschlägige Vorstrafen aufweist, eine Progression seiner Delinquenz zu erkennen ist und er nur kurz nach dem vorinstanzlichen Urteil erneut ein Vergehen gegen das Betäubungsmittelgesetz beging, hat demzufolge im nachfolgenden Dispositiv die entsprechende Ausschreibung des Beschuldigten im Schengener Informationssys- tem zu erfolgen. V. Ersatzforderung 1. Das Gericht kann Vermögenswerte, welche durch eine Straftat hervorge- bracht worden sind, einer Sicherungseinziehung unterziehen (Art. 69 Abs. 1 StGB). Sind die der Einziehung unterliegenden Vermögenswerte nicht mehr vorhanden,</w:t>
      </w:r>
    </w:p>
    <w:p>
      <w:r>
        <w:t>- 21 - so erkennt das Gericht auf eine Ersatzforderung des Staates in gleicher Höhe (Art. 71 Abs. 1 StGB). Durch die Festlegung einer Ersatzforderung wird verhindert, dass derjenige, der die Vermögenswerte bereits verbraucht bzw. sich ihrer entledigt hat, besser gestellt wird als jener, der sie noch hat (BGE 140 IV 57, E. 4.1.2.; 123 IV 70, E. 3.). Die Ersatzforderung entspricht daher in ihrer Höhe grundsätzlich den Vermögenswerten, die durch die strafbaren Handlungen erlangt worden sind und somit der Vermögenseinziehung unterlägen, wenn sie noch vorhanden wären (Ur- teile 6B_1354/2021 vom 22. März 2023, E. 4.3., 6B_676/2022 vom 27. Dezember 2022, E. 3.3.2., 6B_988/2017 vom 26. Februar 2018, E. 3.3. und 6B_236/2015 vom 30. April 2015, E. 1.4.1.). Das Gericht kann die Ersatzforderung reduzieren, um dem Gedanken der Resozialisierung des Täters besser Rechnung zu tragen, denn dem Verurteilten soll nicht durch übermässige Schulden die Wiedereingliederung zusätzlich erschwert werden. Von der in Art. 71 Abs. 2 StGB vorgesehenen Mög- lichkeit des vollständigen oder teilweisen Absehens von einer Ersatzforderung ist nach der Rechtsprechung indessen nur mit Zurückhaltung Gebrauch zu machen. Es müssen bestimmte Gründe vorliegen, die zuverlässig erkennen lassen, dass sich die ernsthafte Gefährdung der Resozialisierung nicht durch Zahlungserleich- terungen beheben lässt und die Ermässigung der Ersatzforderung für eine erfolg- reiche Wiedereingliederung des Täters unerlässlich ist (vgl. BGE 106 IV 9, E. 2.; Urteile 6B_676/2022 vom 27. Dezember 2022, E. 3.3.3. + 3.5.2. und 6B_236/2015 vom 30. April 2015, E. 1.4.1.). Dies kann namentlich dann der Fall sein, wenn der Betroffene vermögenslos oder gar überschuldet ist und sein Einkommen sowie seine übrige persönliche Situation nicht erwarten lassen, dass Zwangsvollstre- ckungsmassnahmen in absehbarer Zeit von Erfolg gekrönt sein werden (Urteile 6B_1354/2021 vom 22. März 2023, E. 4.3., 6B_1256/2018 vom 28. Oktober 2019, E. 7.6. und 6B_988/2017 vom 26. Februar 2018, E. 3.3.). Dem Sachgericht steht bei der Anordnung einer Ersatzforderung ein erheblicher Ermessensspielraum zu (Urteile 6B_1354/2021 vom 22. März 2023, E. 4.3. und 6B_676/2022 vom 27. De- zember 2022, E. 3.3.2.). Die Frage, ob sich eine Herabsetzung oder sogar ein Ver- zicht auf die Ersatzforderung rechtfertigt, setzt eine umfassende Beurteilung der finanziellen Lage der betroffenen Person voraus (BGE 122 IV 299, E. 3.b; Urteil 6B_676/2022 vom 27. Dezember 2022, E. 3.3.3.). Dabei sind namentlich ihre Er-</w:t>
      </w:r>
    </w:p>
    <w:p>
      <w:r>
        <w:t>- 22 - werbsmöglichkeiten respektive ihr Einkommen, ihr Vermögen, ihre Schulden und ihre familienrechtlichen Verpflichtungen zu berücksichtigen (Urteil 6B_1354/2021 vom 22. März 2023, E. 4.4.1.). 2. Inwiefern im Rahmen der strafrechtlichen Abschöpfung das Brutto- oder Net- toprinzip gilt, ist in Lehre und Praxis umstritten (vgl. BAUMANN, BSK StGB I, 4. Aufl., N 34 ff. zu Art. 70/71 StGB). Mehrheitlich durchgesetzt hat sich das gemässigte Bruttoprinzip, laut welchem zwar die unmittelbaren Anschaffungskosten, nicht je- doch weitere Aufwendungen im Zusammenhang mit der deliktischen Tätigkeit von der Bruttosumme in Abzug gebracht werden können (vgl. Urteil 6P.236/2006 vom 23. März 2007, E. 11.3. ff.; vgl. auch BGE 141 IV 317, E. 5.8.2.). Die Staatsanwalt- schaft ist im Rahmen ihres diesbezüglichen Antrages vom reinen Bruttoprinzip aus- gegangen und stellt nach Abzug eines Pauschalbetrages eine Ersatzforderung in der Höhe von Fr. 16'000.–, ohne auf den konkreten Einzelfall näher Bezug zu neh- men (vgl. Urk. 40 S. 10). Die Vorinstanz hat diese Argumentation ohne Einbezug der entsprechenden Lehre und Praxis unbesehen übernommen (Urk. 53 S. 28). 3. Vorliegend hat der Beschuldigte aufgrund der inkriminierten Straftaten nach Abzug der jeweiligen Anschaffungskosten für die ab 1. November 2019 gehandel- ten Betäubungsmittel einen Überschuss von Fr. 5'000.– (Kokain), Fr. 3'300.– (Ma- rihuana) und Fr. 450.– (Ecstasy) erwirtschaftet, während er im Rahmen der übrigen deliktischen Tätigkeit keine nennenswerten Erlöse zu generieren vermochte. Es rechtfertigt sich demzufolge in casu in Anwendung des gemässigten Bruttoprinzips, für die Ersatzforderung den Betrag von Fr. 8'750.– festzulegen. Die Abschöpfung des teilweise auf ungefähren Angaben beruhenden Bruttoerlöses im Rahmen der nicht näher spezifizierten Einzelgeschäfte des Beschuldigten erschiene demgegen- über nicht gerechtfertigt. 4. Angesichts der relativ überschaubaren Höhe des Abschöpfungsbetrages von insgesamt Fr. 8'750.– erweist sich eine Reduktion des Betrages zwecks bes- serer Resozialisierung des Beschuldigten nicht als notwendig, zumal für die De- ckung dieses Betrages ohnehin die beschlagnahmte Barschaft verwendet werden kann (vgl. hinten Ziffer VI./2.).</w:t>
      </w:r>
    </w:p>
    <w:p>
      <w:r>
        <w:t>- 23 - 5. Der Beschuldigte ist mithin nach dem Gesagten zu verpflichten, dem Staat für den nicht mehr vorhandenen unrechtmässigen Gewinn aus der deliktischen Tä- tigkeit den Betrag von Fr. 8'750.– zu bezahlen. VI. Beschlagnahmungen / Sicherstellungen 1. Die im Verfahren angeordneten Beschlagnahmungen und Sicherstellungen sind mit Ausnahme der beschlagnahmten Barschaft bereits in Rechtskraft erwach- sen (vgl. vorne Ziffer II./3.). 2. Die beschlagnahmte Barschaft in der Höhe von Fr. 14'620.– ist zur Deckung der Busse und der widerrufenen Geldstrafe sowie der Ersatzforderung und teil- weise auch der Verfahrenskosten zu verwenden. VII. Kostenfolgen 1. 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Als unterlie- gend gilt auch die Partei, auf deren Rechtsmittel nicht eingetreten wird oder die das Rechtsmittel zurückzieht. Ausnahmen von der allgemeinen Kostenregelung ge- mäss Art. 428 Abs. 1 StPO sind entsprechend Art. 428 Abs. 2 StPO für jene Fälle vorgesehen, in denen die Voraussetzung für das Obsiegen erst im Rahmen des Weiterzuges geschaffen oder der angefochtene Entscheid in diesem Stadium nur unwesentlich abgeändert wurde. 2. Die Entscheidgebühr für den obergerichtlichen Prozess ist vorliegend auf Fr. 3'000.– zu veranschlagen (Art. 424 Abs. 1 StPO in Verbindung mit § 16 Abs. 1 und § 14 Abs. 1 lit. b GebV OG).</w:t>
      </w:r>
    </w:p>
    <w:p>
      <w:r>
        <w:t>- 24 - 3. Die amtliche Verteidigung des Beschuldigten macht für ihre Bemühungen und Barauslagen im Berufungsverfahren den Betrag von Fr. 6'372.15 (inkl. MWST) geltend (Urk. 70). Der Aufwand ist ausgewiesen und das geltend gemachte Hono- rar steht auch im Einklang mit den Ansätzen der kantonalen Anwaltsgebührenver- ordnung. Unter Berücksichtigung des im Nachgang zur Verhandlung eingereichten Schreibens betreffend Berufungsrückzug erscheint es mithin angemessen, den amtlichen Verteidiger mit insgesamt Fr. 6'500.– (inkl. MWST) aus der Gerichts- kasse zu entschädigen. 4. Der Beschuldigte zog im Nachgang zur vertagten Berufungsverhandlung seine Berufung gegen das vorinstanzliche Urteil bezüglich der Dispositivziffern 2 und 3 zurück, was insoweit einem Unterliegen gleichkommt. Im Übrigen vermag sich der Beschuldigte im Berufungsverfahren mit seinen Anträgen nur insofern durchzusetzen, als von einem der beiden beantragten Widerrufe abgesehen und die Ersatzforderung hälftig reduziert wird. Allerdings erfolgten diese Entscheide in- folge einer während des Berufungsverfahrens eingetretenen Voraussetzung bzw. aufgrund einer rechtlich anderen Einschätzung des Zweitgerichtes in einem Neben- punkt, welche im Übrigen nicht als Korrektur eines Fehlurteiles der Vorinstanz zu verstehen ist, was die Kostenverteilung im Endeffekt nicht zu Gunsten des Beschul- digten zu beeinflussen vermag (vgl. GRIESSER, Zürcher Kommentar zur StPO, 3. Aufl., N 12 zu Art. 428 StPO). Im Gegenzug obsiegt die Staatsanwaltschaft mit ihrem Antrag auf Anordnung der Landesverweisung. Es ergibt sich somit für das zweitinstanzliche Verfahren die vollständige Kostenpflicht des Beschuldigten, dies mit Ausnahme der Kosten seiner amtlichen Verteidigung, welche unter Vorbehalt der Rückerstattungspflicht gemäss Art. 135 Abs. 4 StPO einstweilen auf die Ge- richtskasse zu nehmen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