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SB230443 vom 9. Januar 2024</w:t>
      </w:r>
    </w:p>
    <w:p>
      <w:r>
        <w:t>ZH Obergericht, 2024-01-09, DE</w:t>
      </w:r>
    </w:p>
    <w:p>
      <w:r>
        <w:rPr>
          <w:b/>
        </w:rPr>
        <w:t xml:space="preserve">Quelle: </w:t>
      </w:r>
      <w:r>
        <w:t>https://mcp.opencaselaw.ch/entscheid/zh_obergericht_SB230443</w:t>
      </w:r>
    </w:p>
    <w:p>
      <w:r>
        <w:t>FR: ZH_OBERGERICHT SB230443 du 9 janvier 2024</w:t>
      </w:r>
    </w:p>
    <w:p>
      <w:r>
        <w:t>IT: ZH_OBERGERICHT SB230443 del 9 gennaio 2024</w:t>
      </w:r>
    </w:p>
    <w:p>
      <w:pPr>
        <w:pStyle w:val="Heading2"/>
      </w:pPr>
      <w:r>
        <w:t>Erwägungen</w:t>
      </w:r>
    </w:p>
    <w:p>
      <w:r>
        <w:rPr>
          <w:b/>
        </w:rPr>
        <w:t>E. 1</w:t>
      </w:r>
    </w:p>
    <w:p>
      <w:r>
        <w:t>Gegen das eingangs im Dispositiv wiedergegebene Urteil des Bezirksge- richtes Horgen, Einzelgericht, vom 13. Juni 2023, das dem Beschuldigten und sei- ner amtlichen Verteidigerin mündlich eröffnet und übergeben (Prot. I S. 13) sowie der Staatsanwaltschaft schriftlich mitgeteilt wurde (Urk. 43 und Urk. 44/1), liess der Beschuldigte rechtzeitig Berufung anmelden (Urk. 45; Art. 399 Abs. 1 StPO). Das begründete Urteil wurde den Parteien am 21. respektive am 22. August 2023 zugestellt (Urk. 47 und Urk. 48/1-2), woraufhin der Beschuldigte am 4. September 2023 fristgerecht die Berufungserklärung samt Beilage einreichen liess (Urk. 51 und Urk. 52; Art. 399 Abs. 3 StPO).</w:t>
      </w:r>
    </w:p>
    <w:p>
      <w:r>
        <w:rPr>
          <w:b/>
        </w:rPr>
        <w:t>E. 2</w:t>
      </w:r>
    </w:p>
    <w:p>
      <w:r>
        <w:t>Mit Präsidialverfügung vom 6. September 2023 wurde die Berufungserklä- rung der Staatsanwaltschaft zugestellt. Gleichzeitig wurde ihr Frist zur Erklärung der Anschlussberufung oder eines Nichteintretensantrags angesetzt (Urk. 53). Die Staatsanwaltschaft erklärte den Verzicht auf Anschlussberufung innert Frist (Urk. 54/2 und Urk. 55).</w:t>
      </w:r>
    </w:p>
    <w:p>
      <w:r>
        <w:rPr>
          <w:b/>
        </w:rPr>
        <w:t>E. 2.1</w:t>
      </w:r>
    </w:p>
    <w:p>
      <w:r>
        <w:t>Stark zusammengefasst rügt die amtliche Verteidigerin im Berufungsver- fahren, der Beschuldigte sei vom Vorwurf des rechtswidrigen Aufenthalts im Sinne von Art. 115 Abs. 1 lit. b AIG freizusprechen, weil einerseits die Richtlinie 2008/115/EG des Europäischen Parlaments und des Rates vom 16. Dezember 2008 über gemeinsame Normen und Verfahren in den Mitgliedstaaten zur Rück- führung illegal aufhältiger Drittstaatsangehöriger (nachfolgend: EU-Rückführungs- richtlinie) und andererseits Art. 5 Abs. 2, Art. 7, Art. 10 Abs. 3, Art. 12 und Art. 14 BV sowie Art. 3 und Art. 8 EMRK einer Bestrafung des Beschuldigten mit einer Freiheits- oder Geldstrafe entgegenstehen würden (Urk. 51 S. 1 f.; Urk. 59 S. 2 ff.).</w:t>
      </w:r>
    </w:p>
    <w:p>
      <w:r>
        <w:rPr>
          <w:b/>
        </w:rPr>
        <w:t>E. 2.2</w:t>
      </w:r>
    </w:p>
    <w:p>
      <w:r>
        <w:t>Wie bereits das Obergericht des Kantons Zürich, III. Strafkammer, in sei- nem Entscheid vom 16. Februar 2023 namentlich mit Verweis auf seinen Ent- scheid vom 21. Dezember 2021 (UE210003 E. 5 = ZR 121/2022 Nr. 55, S. 210 ff.) festgehalten hat, hat das Gericht nach Anklageerhebung zu prüfen, ob und inwie- fern der eingeklagte Sachverhalt erstellt ist und einen Straftatbestand erfüllt. Fehlt es an einem Straftatbestand, muss das Gericht die beschuldigte Person freispre- chen. Ist ein Straftatbestand gegeben und sind die weiteren Voraussetzungen für einen Schuldspruch erfüllt, hat es sie schuldig zu sprechen (Urk. 35 S. 11). Die Frage der Strafbarkeit des Beschuldigten ist losgelöst und insbesondere erst im Nachgang zur Frage der Tatbestandsmässigkeit des inkriminierten Verhaltens zu prüfen. Mit anderen Worten hat kein Freispruch oder eine Verfahrenseinstellung zu ergehen, bloss weil unter den vorliegenden Umständen eine Bestrafung allen- falls nicht möglich ist (was es zu prüfen gilt – vgl. nachstehend E. IV.3. f.). Ein Schuldspruch kann auch dann ergehen, wenn im Fortgang von einer Bestrafung abgesehen wird (vgl. Art. 115 Abs. 5 AIG, Art. 52 ff. StGB; vgl. auch BGE 139 IV 220 E. 3.4).</w:t>
      </w:r>
    </w:p>
    <w:p>
      <w:r>
        <w:t>- 7 -</w:t>
      </w:r>
    </w:p>
    <w:p>
      <w:r>
        <w:rPr>
          <w:b/>
        </w:rPr>
        <w:t>E. 3</w:t>
      </w:r>
    </w:p>
    <w:p>
      <w:r>
        <w:t>Sachverhalt Der Beschuldigte bestritt den anklagegegenständlichen Sachverhalt weder in ob- jektiver noch in subjektiver Hinsicht. So gab er an, über seine Pflicht zur Ausreise aus der Schweiz bis 15. März 2019 Bescheid zu wissen. Er sei jedoch nicht be- reit, die Schweiz zu verlassen, und habe dies im eingeklagten Zeitraum auch nicht getan (Urk. 2 F/A 9-12; Urk. 4/5/13 S. 2; Urk. 5 F/A 16 und F/A 23; Prot. II S. 10; vgl. auch Urk. 59 S. 1). Aus den Migrationsakten ergibt sich ferner, dass das Asyl- gesuch des Beschuldigten mit Entscheid des Bundesverwaltungsgerichts vom 12. September 2018 rechtskräftig abgewiesen und er mit Schreiben des Staatsse- kretariats für Migration vom 20. September 2018 erneut auf seine Ausreisepflicht bis 15. März 2019 aufmerksam gemacht wurde (Urk. 3/2-4). Der Sachverhalt ge- mäss Anklage vom 26. August 2021 ist damit als erstellt zu betrachten. Im Übri- gen kann auf die diesbezüglichen zutreffenden Erwägungen der Vorinstanz ver- wiesen werden (Urk. 49 S. 4 f.).</w:t>
      </w:r>
    </w:p>
    <w:p>
      <w:r>
        <w:rPr>
          <w:b/>
        </w:rPr>
        <w:t>E. 3.1</w:t>
      </w:r>
    </w:p>
    <w:p>
      <w:r>
        <w:t>Gestützt auf die bundesgerichtliche Rechtsprechung hat bei erfülltem Tat- bestand eine Verurteilung zu erfolgen, und sofern die EU-Rückführungsrichtlinie der Bestrafung mit einer Freiheitsstrafe entgegensteht, ist die Ausfällung einer Geldstrafe zu prüfen. So hält das Bundesgericht in einem neueren (vom Verteidi- ger mehrmals eingebrachten) Urteil unter Verweis seiner bisherigen Rechtspre- chung fest: "Soweit ein Freiheitsentzug nach der europäischen Rechtslage grund- sätzlich ausgeschlossen ist, wird damit nicht schon jede Sanktionierung einer be- harrlichen Renitenz ausgeschlossen und der durch nicht kooperierendes Verhal- ten fortgesetzte illegale Aufenthalt mittelbar begünstigt. Art. 115 Abs. 1 lit. b AuG/AIG droht neben Freiheitsstrafe bis zu einem Jahr alternativ Geldstrafe an. Die Verhängung einer Geldstrafe ist mit der Richtlinie nicht unvereinbar, soweit sie die Abschiebung nicht verzögert" (Urteil des Bundesgerichts 6B_908/2021 vom 29. November 2022 E. 5.3 mit Verweis auf BGE 143 IV 249 E. 1.9; BGE 145 IV 197 E. 1.4.3; und Urteile 6B_427/2020 vom 1. November 2021 E. 1.5; 6B_438/2020 vom 9. Februar 2021 E. 1.4). Eine solche Sanktion kann unabhän- gig von den für die Umsetzung der Wegweisung erforderlichen Massnahmen aus- gesprochen werden (BGE 143 IV 249 E. 1.9; BGE 145 IV 197 E. 1.4.3; Urteile des Bundesgerichts 6B_438/2020 vom 9. Februar 2021 E. 1.4, 6B_427/2020 vom 1. November 2021 E. 1.5 und 6B_388/2022 vom 27. April 2023 E. 2.3). Der Be- strafung der beschuldigten Person mit einer Geldstrafe steht damit nach ständiger Rechtsprechung des Bundesgerichts weder die EU-Rückführungsrichtlinie noch Verfassungs- oder Konventionsrecht a priori entgegen. Auch eine Mittellosigkeit schliesst die Ausfällung einer Geldstrafe nicht aus. So kann gemäss Bundesge- richt auch bei abgewiesenen Asylbewerbern, die Nothilfe beziehen, eine Gelds- trafe verhängt werden – dies also auch im Geltungsbereich der EU-Rückführungs- richtlinie (vgl. Urteile des Bundesgerichts 6B_610/2009 vom 13. Juli 2010 E. 1.3 ff., insbesondere E. 1.5; 6B_1055/2017 vom 9. November 2017 E. 2.7; 6B_689/2010 und 6B_690/2010 vom 25. Oktober 2010 E. 6.4).</w:t>
      </w:r>
    </w:p>
    <w:p>
      <w:r>
        <w:t>- 10 -</w:t>
      </w:r>
    </w:p>
    <w:p>
      <w:r>
        <w:rPr>
          <w:b/>
        </w:rPr>
        <w:t>E. 3.2</w:t>
      </w:r>
    </w:p>
    <w:p>
      <w:r>
        <w:t>Wie bereits mehrfach erwogen, steht im vorliegenden Fall die EU-Rückfüh- rungsrichtlinie einer Bestrafung des Beschuldigten mit einer Freiheitsstrafe entge- gen, weil die Migrationsbehörden noch nicht sämtliche erforderlichen Entfer- nungsmassnahmen zur Durchsetzung der rechtskräftigen Rückkehrentscheidung ergriffen haben (Urk. 35 S. 6 f. mit Verweis auf BGE 143 IV 249 E. 1.9 und Urteil des Bundesgerichts 6B_427/2020 vom 1. November 2021 E. 1.3.2; dazu auch Urk. 49 S. 7 f.). Dies blieb auch im Berufungsverfahren unbestritten (Prot. II. S. 10 f.; Urk. 59 S. 1 ff.).</w:t>
      </w:r>
    </w:p>
    <w:p>
      <w:r>
        <w:rPr>
          <w:b/>
        </w:rPr>
        <w:t>E. 3.3</w:t>
      </w:r>
    </w:p>
    <w:p>
      <w:r>
        <w:t>Vorliegend ist nicht ersichtlich, inwiefern die Ausfällung einer Geldstrafe in Höhe von 60 Tagessätzen (vgl. nachstehend E. IV.4) eine Abschiebung des Be- schuldigten erschweren sollte, zumal gemäss bundesgerichtlicher Rechtspre- chung selbst die mögliche Umwandlung einer Geldstrafe in eine Ersatzfreiheits- strafe die Ausfällung einer Geldstrafe nicht hindert, sofern der Vollzug der Ersatz- freiheitsstrafe die Rückführung nicht massgebend erschwert (BGE 145 IV 197 E. 1.4.3 f.). Das wird bei einer relativ geringen Anzahl an eventuell zu verbüssen- den Tagen – wie in casu, sollte es denn dazu kommen – nicht der Fall sein. Fer- ner ist nicht wegen des Umstands allein, dass der Beschuldigte lediglich von Not- hilfe lebt, davon auszugehen, dass eine Geldstrafe nicht vollzogen werden kann. Grundsätzlich sind Zahlungserleichterungen wie Ratenzahlung oder eine längere Zahlungsfrist möglich (Art. 35 Abs. 1 StGB), was einer allfälligen Rückführung des Beschuldigten nicht per se entgegensteht. Obschon das Kernproblem des vorlie- genden Streitgegenstands im Grunde keines des Strafrechts ist, hat sich der Be- schuldigte durch sein Verhalten nach geltender Gesetzgebung und bundesge- richtlicher Rechtsprechung im Zusammenhang mit Art. 115 Abs. 1 lit. b AIG straf- bar gemacht und muss sich deswegen verantworten. Deshalb muss er sich wie andere, die unter dem Existenzminimum leben, in seinen grundlegendsten Be- dürfnissen zusätzlich einschränken. Entsprechend hat der Gesetzgeber die Geldstrafe auch für eine mittellose Täterschaft gewollt so vorgesehen (so nach wie vor die gängige Haltung des Bundesgerichts; vgl. Urteile des Bundesgerichts 6B_610/2009 vom 13. Juli 2010 E. 1.5; 6B_689/2010 und 6B_690/2010 vom 25. Oktober 2010 E. 6.4; HANS MATHYS, Leitfaden Strafzumessung, 2. Aufl. 2019, N 452). Daran ändert auch das von der Verteidigung vorgebrachte Urteil des Bun-</w:t>
      </w:r>
    </w:p>
    <w:p>
      <w:r>
        <w:t>- 11 - desgerichts 6B_908/2021 vom 29. November 2022 nichts: Weil die tatsächlichen Feststellungen der Vorinstanz für das Bundesgericht verbindlich waren und der entsprechende Punkt, wonach mangels finanzieller Möglichkeiten von einer Geldstrafe abgesehen wurde, vor Bundesgericht unangefochten blieb, äusserte es sich nicht dazu (E. 6.5 des vorgenannten Urteils). Bestätigt hat es jedoch seine bisherige Haltung, dass eine beharrliche Renitenz grundsätzlich zu sanktionieren und der durch nicht kooperierendes Verhalten fortgesetzte illegale Aufenthalt nicht mittelbar zu begünstigen sei (E. 5.3 des vorgenannten Urteils). Weil vorliegend keine Gründe ersichtlich sind, welche der Bestrafung des Beschuldigten entge- genstehen, ist dieser für sein strafbares Verhalten mit der Vorinstanz mit einer Geldstrafe zu bestrafen.</w:t>
      </w:r>
    </w:p>
    <w:p>
      <w:r>
        <w:rPr>
          <w:b/>
        </w:rPr>
        <w:t>E. 4</w:t>
      </w:r>
    </w:p>
    <w:p>
      <w:r>
        <w:t>Strafzumessung und Vollzug</w:t>
      </w:r>
    </w:p>
    <w:p>
      <w:r>
        <w:rPr>
          <w:b/>
        </w:rPr>
        <w:t>E. 4.1</w:t>
      </w:r>
    </w:p>
    <w:p>
      <w:r>
        <w:t>Die Vorinstanz qualifizierte das Tatverschulden des Beschuldigten als noch leicht, insbesondere indem es sein über mehrere Jahre andauerndes renitentes Verhalten, die Schweiz trotz Kenntnis der rechtskräftigen Wegweisung nicht zu verlassen, in Erwägung zog. Dafür verhängte sie eine Geldstrafe von 60 Tages- sätzen. Den Umstand, dass er als abgewiesener Asylbewerber lediglich Nothilfe bezieht, berücksichtigte die Vorinstanz, indem sie die Tagessatzhöhe in Anwen- dung von Art. 34 Abs. 2 StGB und zu Recht auf Fr. 10.– reduzierte. Den unbe- dingten Vollzug der Strafe erachtete sie sodann als nicht notwendig, um den Be- schuldigten vor weiteren Delikten abzuhalten. Zwar sei der Beschuldigte nach wie vor nicht ausgereist, dennoch sei positiv zu berücksichtigen, dass die früheren Straftaten einige Zeit zurückliegen würden und der Beschuldigte als ein möglicher Härtefall anerkannt werden könne. Er sei bemüht, seinen Aufenthalt zu legalisie- ren (Urk. 49 S. 12 ff.).</w:t>
      </w:r>
    </w:p>
    <w:p>
      <w:r>
        <w:rPr>
          <w:b/>
        </w:rPr>
        <w:t>E. 4.2</w:t>
      </w:r>
    </w:p>
    <w:p>
      <w:r>
        <w:t>Die Berufungsinstanz darf Entscheide nicht zum Nachteil der beschuldigten oder verurteilten Person abändern, wenn das Rechtsmittel nur zu deren Gunsten ergriffen worden ist (vgl. Art. 391 Abs. 2 Satz 1 StPO; Verschlechterungsverbot). Da vorliegend lediglich der Beschuldigte die Berufung erklärte und damit das vor- instanzliche Urteil nicht zu seinem Nachteil abgeändert werden darf, ist dieses un- ter Verweis auf die darin enthaltene Strafzumessung (Urk. 49 S. 12 ff.) zu bestäti-</w:t>
      </w:r>
    </w:p>
    <w:p>
      <w:r>
        <w:t>- 12 - gen. Festzuhalten ist, dass die Berufungsinstanz den Beschuldigten unter Berück- sichtigung seines noch leichten Tatverschuldens und insbesondere mit Blick auf sein gegenüber den Migrationsbehörden über mehrere Jahre hinweg renitentes und gleichgültiges Verhalten eher mit 90 Tagesätzen zu Fr. 10.– bestraft hätte. Ferner wäre ihm auch keine positive Legalprognose zu stellen gewesen, da er sich – wie die Verteidigung zu Recht festhält (Urk. 51 S. 2) – seither und weiterhin ohne Aufenthaltsbewilligung in der Schweiz aufhält und keine Anstalten trifft, diese zu verlassen. Folgerichtig wäre die Geldstrafe aus Sicht der Berufungsin- stanz zu vollziehen gewesen. Im Ergebnis ist der Beschuldigte jedoch mit einer Geldstrafe von 60 Tagessätzen zu Fr. 10.– zu bestrafen, wovon 2 Tagessätze als durch Haft geleistet gelten (Urk. 8/1 und Urk. 8/7). Der Vollzug der Geldstrafe ist aufzuschieben und die Probezeit auf 5 Jahre festzusetzen. V. Kosten- und Entschädigungsfolgen 1. Die Kosten des Berufungsverfahrens sind auf Fr. 2'500.– zu veranschlagen (Art. 424 Abs. 1 StPO in Verbindung mit § 16 Abs. 1 und § 14 der Gebührenver- ordnung des Obergerichts). Die Kosten im Rechtsmittelverfahren tragen die Par- teien nach Massgabe ihres Obsiegens oder Unterliegens (Art. 428 Abs. 1 StPO). Ob eine Partei im Rechtsmittelverfahren als obsiegend oder unterliegend gilt, hängt davon ab, in welchem Ausmass ihre gestellten Anträge gutgeheissen wur- den (THOMAS DOMEISEN, in: Basler Kommentar, Strafprozessordnung, 3. Aufl. 2023, N 6 zu Art. 428 StPO). 2. Da der Beschuldigte vorliegend mit seinen Anträgen vollumfänglich unter- liegt, rechtfertigt es sich, ihm die Kosten der Untersuchung und des Gerichtsver- fahrens beider Instanzen, mit Ausnahme derjenigen der amtlichen Verteidigung, aufzuerlegen. Aufgrund der misslichen finanziellen Situation des Beschuldigten, die sich in absehbarer Zeit nicht verbessern dürfte, sind ihm die Kosten jedoch ausnahmsweise zu erlassen und daher abzuschreiben (Art. 425 StPO). 3. Der seitens der amtlichen Verteidigung geltend gemachte Aufwand von Fr. 2'633.15 für das zweitinstanzliche Gerichtsverfahren ist ausgewiesen und er-</w:t>
      </w:r>
    </w:p>
    <w:p>
      <w:r>
        <w:t>- 13 - scheint angemessen (Urk. 60). Es rechtfertigt sich daher, Rechtsanwältin lic. iur. X._____ für ihre Aufwendungen im Berufungsverfahren mit Fr. 2'633.15 (inkl. Auslagen und MwSt.) zu entschädigen (§ 2 lit. b und § 17 Abs. 1 lit. b A in Verbin- dung mit § 18 Abs. 1 AnwGebV OG). Die entsprechenden Kosten sind unter Be- rücksichtigung von Art. 425 StPO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