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SB230384 vom 11. August 2023</w:t>
      </w:r>
    </w:p>
    <w:p>
      <w:r>
        <w:t>ZH Obergericht, 2023-08-11, DE</w:t>
      </w:r>
    </w:p>
    <w:p>
      <w:r>
        <w:rPr>
          <w:b/>
        </w:rPr>
        <w:t xml:space="preserve">Quelle: </w:t>
      </w:r>
      <w:r>
        <w:t>https://mcp.opencaselaw.ch/entscheid/zh_obergericht_SB230384</w:t>
      </w:r>
    </w:p>
    <w:p>
      <w:r>
        <w:t>FR: ZH_OBERGERICHT SB230384 du 11 août 2023</w:t>
      </w:r>
    </w:p>
    <w:p>
      <w:r>
        <w:t>IT: ZH_OBERGERICHT SB230384 del 11 agosto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5. Mai 2023 liess der Beschuldigte gegen das Urteil des Bezirksgerich- tes Zürich, 10. Abteilung - Einzelgericht, vom 27. April 2023 fristgerecht Berufung anmelden (Urk. 34), reichte hernach jedoch keine Berufungserklärung ein.</w:t>
      </w:r>
    </w:p>
    <w:p>
      <w:r>
        <w:rPr>
          <w:b/>
        </w:rPr>
        <w:t>E. 2</w:t>
      </w:r>
    </w:p>
    <w:p>
      <w:r>
        <w:t>Gemäss Art. 399 Abs. 3 StPO hat die Partei, die Berufung angemeldet hat, dem Berufungsgericht innert 20 Tagen seit der Zustellung des begründeten Ur- teils eine Berufungserklärung einzureichen. Das begründete Urteil wurde am</w:t>
      </w:r>
    </w:p>
    <w:p>
      <w:r>
        <w:rPr>
          <w:b/>
        </w:rPr>
        <w:t>E. 6</w:t>
      </w:r>
    </w:p>
    <w:p>
      <w:r>
        <w:t>Juli 2023 von der Verteidigung entgegengenommen (Urk. 39/2). Die 20-tägige Frist zur Einreichung der Berufungserklärung lief demnach am 26. Juli 2023 un- benützt ab. Da innert Frist keine Berufungserklärung einging, ist auf die Berufung des Beschuldigten nicht einzutreten (Art. 403 Abs. 1 StPO). Auf die Einholung ei- ner Stellungnahme des Beschuldigten im Sinne von Art. 403 Abs. 2 StPO kann verzichtet werden, wenn die Anmeldung der Berufung offensichtlich unzulässig ist. Dies ist bei einer offensichtlich verspäteten oder gänzlich versäumten Eingabe in der Regel der Fall (ZR 110/2011 S. 217). 3. Die Kosten des Rechtsmittelverfahrens tragen die Parteien nach Massgabe ihres Obsiegens oder Unterliegens. Als unterliegend gilt auch die Partei, auf de- ren Rechtsmittel nicht eingetreten wird oder die das Rechtsmittel zurückzieht (Art. 428 Abs. 1 StPO). Ausgangsgemäss sind die Kosten des Berufungsverfah- rens, mit Ausnahme derjenigen der amtlichen Verteidigung, dem Beschuldigten aufzuerlegen (Art. 428 Abs. 1 StPO). Der Privatklägerin ist mangels erkennbarer Umtriebe keine Entschädigung zuzusprechen. 4. Der amtliche Verteidiger ist aus der Gerichtskasse zu entschädigen (Art. 135 Abs. 1 StPO). Er macht mit Kostennote vom 7. August 2023 für das Berufungs- verfahren einen Aufwand von Fr. 533.10 (inkl. Auslagen und MwSt.) geltend (Urk. 43). Der Aufwand erscheint angemessen. Rechtsanwalt Dr. iur. X._____ ist für seine Bemühungen als amtlicher Verteidiger im Berufungsverfahren mit Fr. 533.10 zu entschädigen. Die Rückzahlungspflicht des Beschuldigten bleibt in diesem Umfang vorbehalten (Art. 135 Abs. 4 StPO).</w:t>
      </w:r>
    </w:p>
    <w:p>
      <w:r>
        <w:t>- 3 -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