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SB230348 vom 5. April 2024</w:t>
      </w:r>
    </w:p>
    <w:p>
      <w:r>
        <w:t>ZH Obergericht, 2024-04-05, DE</w:t>
      </w:r>
    </w:p>
    <w:p>
      <w:r>
        <w:rPr>
          <w:b/>
        </w:rPr>
        <w:t xml:space="preserve">Quelle: </w:t>
      </w:r>
      <w:r>
        <w:t>https://mcp.opencaselaw.ch/entscheid/zh_obergericht_SB230348</w:t>
      </w:r>
    </w:p>
    <w:p>
      <w:r>
        <w:t>FR: ZH_OBERGERICHT SB230348 du 5 avril 2024</w:t>
      </w:r>
    </w:p>
    <w:p>
      <w:r>
        <w:t>IT: ZH_OBERGERICHT SB230348 del 5 aprile 2024</w:t>
      </w:r>
    </w:p>
    <w:p>
      <w:pPr>
        <w:pStyle w:val="Heading2"/>
      </w:pPr>
      <w:r>
        <w:t>Erwägungen</w:t>
      </w:r>
    </w:p>
    <w:p>
      <w:r>
        <w:rPr>
          <w:b/>
        </w:rPr>
        <w:t>E. 1</w:t>
      </w:r>
    </w:p>
    <w:p>
      <w:r>
        <w:t>Anlässlich einer Verkehrskontrolle beobachteten Beamte der Kantonspoli- zei Zürich am 17. Mai 2022, wie ein Fahrzeug mit dem Kontrollschild "ZH 1" auf der Autobahn A3 in Fahrtrichtung B._____ kurz vor der Ausfahrt C._____ mit ein- geschalteter Warnblinkanlage auf dem Pannenstreifen an mehreren Fahrzeugen vorbeifuhr, die in stockendem Kolonnenverkehr auf dem Normalstreifen unter- wegs waren. Als die Polizei den Fahrer daraufhin zum Anhalten aufforderte, fuhr dieser davon. Dessen ungeachtet konnte der Beschuldigte kurze Zeit später als Lenker des fraglichen Personenwagens ausfindig gemacht werden und es wurde diesbezüglich an die Staatsanwaltschaft Zürich-Sihl rapportiert (vgl. Urk. 1 S. 2 ff.). Nach durchgeführter Untersuchung erhob die Staatsanwaltschaft am</w:t>
      </w:r>
    </w:p>
    <w:p>
      <w:r>
        <w:rPr>
          <w:b/>
        </w:rPr>
        <w:t>E. 1.1</w:t>
      </w:r>
    </w:p>
    <w:p>
      <w:r>
        <w:t>Dass die Vorinstanz dem Beschuldigten die Kosten des Vorverfahrens und des erstinstanzlichen Hauptverfahrens auferlegt hat (Dispositivziffer 6), stützt sich angesichts dessen, dass ein anklagegemässer Schuldspruch ergangen ist, auf die gesetzliche Regelung von Art. 426 Abs. 1 StPO und ist deshalb so zu be- lassen.</w:t>
      </w:r>
    </w:p>
    <w:p>
      <w:r>
        <w:rPr>
          <w:b/>
        </w:rPr>
        <w:t>E. 1.2</w:t>
      </w:r>
    </w:p>
    <w:p>
      <w:r>
        <w:t>Irrelevant für die Kostentragungspflicht des Beschuldigten ist, dass im Be- rufungsverfahren eine Änderung der rechtlichen Würdigung erfolgt, indem hin- sichtlich des Rechtsüberholens nunmehr anstelle einer groben auf eine einfache</w:t>
      </w:r>
    </w:p>
    <w:p>
      <w:r>
        <w:t>- 14 - Verkehrsregelverletzung zu erkennen ist, zumal in solchen Fällen kein Teilfrei- spruch gefällt werden muss, der eine anteilsmässige Ausscheidung der Verfah- renskosten nach sich ziehen würde (BSK StPO II-DOMEISEN, Art. 426 N 6). Ebenso muss unberücksichtigt bleiben, wenn der Beschuldigte einwendet, er hätte gegen den ursprünglich erlassenen Strafbefehl vom 1. Juli 2022 keine Ein- sprache eingelegt, wenn die Staatsanwaltschaft bereits zu diesem Zeitpunkt eine korrekte rechtliche Würdigung vorgenommen hätte (Urk. 19 S. 4), wurde doch auch der anschliessende Teil des Strafverfahrens letztlich durch seine Delinquenz ausgelöst und steht damit in Zusammenhang. Nachdem die zu beurteilenden Übertretungen nicht unter das OBG fallen (s. dazu vorn Erw. IV. 2.1.), kann sich der Beschuldigte schliesslich auch diesbezüglich nicht auf die Kostenfreiheit des Ordnungsbussenverfahrens berufen (vgl. Urk. 43 S. 3)</w:t>
      </w:r>
    </w:p>
    <w:p>
      <w:r>
        <w:rPr>
          <w:b/>
        </w:rPr>
        <w:t>E. 1.3</w:t>
      </w:r>
    </w:p>
    <w:p>
      <w:r>
        <w:t>Demgemäss ist die erstinstanzliche Kostenauflage vollumfänglich zu bestäti- gen. In Anbetracht dessen, dass die Verlegung der Kosten in der Regel die Ent- schädigungsfrage präjudiziert (BSK StPO II-DOMEISEN, Art. 426 N 2a), ist zudem von der Zusprechung einer Parteientschädigung an den Beschuldigten für das Verfahren bis zum Abschluss des vorinstanzlichen Prozesses abzusehen. 2.1. Die Gebühr für das Berufungsverfahren ist auf Fr. 3'600.– zu veranschla- gen (Art. 424 Abs. 1 StPO in Verbindung mit § 16 Abs. 1 GebV OG und § 14 Abs. 1 lit. a GebV OG). 2.2.1. Im Berufungsverfahren werden die Kosten nach Obsiegen und Unterlie- gen auferlegt (Art. 428 Abs. 1 Satz 1 StPO). Ob bzw. inwieweit eine Partei im Sinne dieser Bestimmung obsiegt oder unterliegt, hängt davon ab, in welchem Ausmass ihre vor der zweiten Instanz gestellten Anträge gutgeheissen werden (Urteil des Bundesgerichts 6B_791/2023 vom 23. August 2023 E. 1.4 m.w.H.). Hat lediglich die beschuldigte Person ein Rechtsmittel eingelegt und obsiegt sie nur teilweise, werden die Kosten nach Massgabe der gutzuheissenden bzw. ab- zuweisenden Begehren auf sie und den verfahrensführenden Kanton aufgeteilt (BSK StPO II-DOMEISEN, Art. 428 StPO N 7).</w:t>
      </w:r>
    </w:p>
    <w:p>
      <w:r>
        <w:t>- 15 - 2.2.2. Der Beschuldigte dringt zwar mit seiner Berufung insoweit nicht durch, als er auch für das Rechtsüberholen schuldig zu sprechen ist. Ausserdem bleibt er entgegen seinem Antrag für das vorinstanzliche Verfahren vollumfänglich kosten- pflichtig. Er erreicht allerdings, dass sein eingeklagtes Fahrmanöver eine aus sei- ner Sicht günstigere rechtliche Würdigung erfährt und dass die von der Vorinstanz ausgesprochene Sanktion milder ausfällt. Ausgangsgemäss und in Gewichtung der einzelnen Berufungsbegehren sind die Kosten des Berufungsverfahrens damit dem Beschuldigten nur hälftig aufzuerlegen und im verbleibenden Betrag auf die Gerichtskasse zu nehmen. 3.1. Erfolgt im Rechtsmittelprozess weder ein vollständiger oder teilweiser Freispruch noch eine Einstellung des Verfahrens, obsiegt die beschuldigte Person aber in anderen Punkten, so hat sie gemäss Art. 436 Abs. 2 StPO Anspruch auf eine angemessene Entschädigung für ihre Aufwendungen. Diese richtet sich in erster Linie auf vollen oder anteilsmässigen Ersatz der Kosten der Wahlverteidi- gung des Beschuldigten (Art. 436 Abs. 1 StPO in Verbindung mit Art. 429 Abs. 1 lit. a StPO). 3.2. Die erbetene Verteidigung macht für ihre Aufwendungen und Barauslagen im Berufungsverfahren Fr. 2'024.– (inkl. MWST und Barauslagen) geltend (Urk. 44 [Aufwendungen ab dem 19. März 2024 zzgl. 1.25 Stunden für die Beru- fungsverhandlung]). Das geforderte Honorar steht im Einklang mit den Ansätzen der Anwaltsgebührenverordnung und erweist sich grundsätzlich als angemessen, insbesondere auch hinsichtlich des eingesetzten Stundenansatzes von Fr. 250.–. Analog zur Verteilung der Berufungskosten ist deshalb hinsichtlich des zweitin- stanzlichen Verfahrens gestützt auf Art. 429 Abs. 3 StPO der Verteidigung – unter Vorbehalt der Abrechnung mit ihrer Klientschaft – eine auf die Hälfte reduzierte Parteientschädigung von Fr. 1'100.– (inkl. MWST) aus der Gerichtskasse zuzu- sprechen.</w:t>
      </w:r>
    </w:p>
    <w:p>
      <w:r>
        <w:t>- 16 - Es wird beschlossen:</w:t>
      </w:r>
    </w:p>
    <w:p>
      <w:r>
        <w:rPr>
          <w:b/>
        </w:rPr>
        <w:t>E. 4</w:t>
      </w:r>
    </w:p>
    <w:p>
      <w:r>
        <w:t>Zusammengefasst ist der Beschuldigte demnach zusätzlich zur rechts- kräftig gewordenen Verurteilung wegen Hinderung einer Amtshandlung (Art. 286 StGB), missbräuchlicher Verwendung der Warnblinklichter (Art. 90 Abs. 1 SVG in Verbindung mit Art. 40 SVG, Art. 23 Abs. 3 lit. b VRV und Art. 29 Abs. 1 VRV) so- wie einmaligen Konsums von Marihuana (Art. 19a Ziff. 1 BetmG) zweitinstanzlich der einfachen Verkehrsregelverletzung im Sinne von Art. 90 Abs. 1 SVG in Ver- bindung mit Art. 35 Abs. 1 SVG, Art. 8 Abs. 3 VRV und Art. 36 Abs. 5 VRV (Rechtsüberholen auf der Autobahn) bzw. in Verbindung mit Art. 43 Abs. 3 SVG und Art. 36 Abs. 3 VRV (unbefugtes Benützen des Pannenstreifens) schuldig zu sprechen. IV. Sanktion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