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SB230337 vom 6. Dezember 2023</w:t>
      </w:r>
    </w:p>
    <w:p>
      <w:r>
        <w:t>ZH Obergericht, 2023-12-06, DE</w:t>
      </w:r>
    </w:p>
    <w:p>
      <w:r>
        <w:rPr>
          <w:b/>
        </w:rPr>
        <w:t xml:space="preserve">Quelle: </w:t>
      </w:r>
      <w:r>
        <w:t>https://mcp.opencaselaw.ch/entscheid/zh_obergericht_SB230337</w:t>
      </w:r>
    </w:p>
    <w:p>
      <w:r>
        <w:t>FR: ZH_OBERGERICHT SB230337 du 6 décembre 2023</w:t>
      </w:r>
    </w:p>
    <w:p>
      <w:r>
        <w:t>IT: ZH_OBERGERICHT SB230337 del 6 dicembre 2023</w:t>
      </w:r>
    </w:p>
    <w:p>
      <w:pPr>
        <w:pStyle w:val="Heading2"/>
      </w:pPr>
      <w:r>
        <w:t>Erwägungen</w:t>
      </w:r>
    </w:p>
    <w:p>
      <w:r>
        <w:rPr>
          <w:b/>
        </w:rPr>
        <w:t>E. 3</w:t>
      </w:r>
    </w:p>
    <w:p>
      <w:r>
        <w:t>Der Antrag des Beschuldigten, die Privatklägerin und eventualiter solidarisch mit ihr die Staatsanwaltschaft Zürich seien für das erstinstanzliche Verfahren und die beiden Berufungsverfahren zur Zahlung einer Parteientschädigung an ihn zu verpflichten, wird abgewiesen, soweit darauf eingetreten wird.</w:t>
      </w:r>
    </w:p>
    <w:p>
      <w:r>
        <w:rPr>
          <w:b/>
        </w:rPr>
        <w:t>E. 4</w:t>
      </w:r>
    </w:p>
    <w:p>
      <w:r>
        <w:t>Der Antrag der amtliche Verteidigung auf Neufestsetzung ihres Honorars als amtliche Verteidigerin für das erstinstanzliche Verfahren und für das erste Berufungsverfahren wird abgewiesen, soweit darauf eingetreten wird.</w:t>
      </w:r>
    </w:p>
    <w:p>
      <w:r>
        <w:rPr>
          <w:b/>
        </w:rPr>
        <w:t>E. 5</w:t>
      </w:r>
    </w:p>
    <w:p>
      <w:r>
        <w:t>Der Antrag der amtlichen Verteidigung und des Beschuldigten auf Neurege- lung der Kosten- und Entschädigungsfolgen für das bundesgerichtliche Verfahren (Prozess Nr. 6B_203/2022 bzw. 6B_298/2022 ) wird abgewiesen, soweit darauf eingetreten wird.</w:t>
      </w:r>
    </w:p>
    <w:p>
      <w:r>
        <w:rPr>
          <w:b/>
        </w:rPr>
        <w:t>E. 6</w:t>
      </w:r>
    </w:p>
    <w:p>
      <w:r>
        <w:t>Die für das Beschwerdeverfahren im Prozess Nr. SB210163 festgesetzte Gebühr beträgt Fr. 1'300.-- und wird der amtlichen Verteidigerin auferlegt.</w:t>
      </w:r>
    </w:p>
    <w:p>
      <w:r>
        <w:rPr>
          <w:b/>
        </w:rPr>
        <w:t>E. 7</w:t>
      </w:r>
    </w:p>
    <w:p>
      <w:r>
        <w:t>Die erstinstanzliche Kostenfestsetzung (Ziff. 6) wird bestätigt.</w:t>
      </w:r>
    </w:p>
    <w:p>
      <w:r>
        <w:rPr>
          <w:b/>
        </w:rPr>
        <w:t>E. 8</w:t>
      </w:r>
    </w:p>
    <w:p>
      <w:r>
        <w:t>Die zweitinstanzliche Gerichtsgebühr fällt ausser Ansatz. Die weiteren Kosten betragen:</w:t>
      </w:r>
    </w:p>
    <w:p>
      <w:r>
        <w:t>- 17 - Fr. 10'000.-- amtliche Verteidigung Prozess Nr. SB210163 Fr. 4'000.-- amtliche Verteidigung Prozess Nr. SB230337</w:t>
      </w:r>
    </w:p>
    <w:p>
      <w:r>
        <w:rPr>
          <w:b/>
        </w:rPr>
        <w:t>E. 9</w:t>
      </w:r>
    </w:p>
    <w:p>
      <w:r>
        <w:t>Die Kosten der beiden Berufungsverfahren sowie die Kosten der Unter- suchung und des erstinstanzlichen Gerichtsverfahrens, einschliesslich der- jenigen der amtlichen Verteidigung, werden auf die Gerichtskasse genom- men.</w:t>
      </w:r>
    </w:p>
    <w:p>
      <w:r>
        <w:rPr>
          <w:b/>
        </w:rPr>
        <w:t>E. 10</w:t>
      </w:r>
    </w:p>
    <w:p>
      <w:r>
        <w:t>Der Privatklägerin wird keine Prozessentschädigung zugesprochen.</w:t>
      </w:r>
    </w:p>
    <w:p>
      <w:r>
        <w:rPr>
          <w:b/>
        </w:rPr>
        <w:t>E. 11</w:t>
      </w:r>
    </w:p>
    <w:p>
      <w:r>
        <w:t>Schriftliche Mitteilung in vollständiger Ausfertigung an − die amtliche Verteidigung im Doppel für sich und zuhanden des Beschuldigten (unter Beilage von Urk. 140 und 141) − die Staatsanwaltschaft Zürich-Limmat (unter Beilage von Urk. 141) − die Vertretung der Privatklägerin im Doppel für sich und zuhanden der Privatklägerin (unter Beilage von Urk. 140) und nach unbenütztem Ablauf der Rechtsmittelfrist bzw. Erledigung allfälli- ger Rechtsmittel an − die Vorinstanz − die Koordinationsstelle VOSTRA/DNA zur Entfernung der Daten ge- mäss Art. 32 VOSTRA mittels Kopie von Urk. 123 − das Obergericht des Kantons Zürich, in die Akten des Verfahrens UP210011.</w:t>
      </w:r>
    </w:p>
    <w:p>
      <w:r>
        <w:rPr>
          <w:b/>
        </w:rPr>
        <w:t>E. 12</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w:t>
      </w:r>
    </w:p>
    <w:p>
      <w:r>
        <w:t>- 18 - Die Beschwerdelegitimation und die weiteren Beschwerdevoraussetzungen richten sich nach den massgeblichen Bestimmungen des Bundesgerichts- gesetzes. Obergericht des Kantons Zürich I. Strafkammer Zürich, 6. Dezember 2023 Der Präsident: Die Gerichtsschreiberin: lic. iur. Ch. Prinz MLaw N. Hunziker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