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SB230233 vom 1. Juli 2025</w:t>
      </w:r>
    </w:p>
    <w:p>
      <w:r>
        <w:t>ZH Obergericht, 2025-07-01, DE</w:t>
      </w:r>
    </w:p>
    <w:p>
      <w:r>
        <w:rPr>
          <w:b/>
        </w:rPr>
        <w:t xml:space="preserve">Quelle: </w:t>
      </w:r>
      <w:r>
        <w:t>https://mcp.opencaselaw.ch/entscheid/zh_obergericht_SB230233</w:t>
      </w:r>
    </w:p>
    <w:p>
      <w:r>
        <w:t>FR: ZH_OBERGERICHT SB230233 du 1 juillet 2025</w:t>
      </w:r>
    </w:p>
    <w:p>
      <w:r>
        <w:t>IT: ZH_OBERGERICHT SB230233 del 1 luglio 2025</w:t>
      </w:r>
    </w:p>
    <w:p>
      <w:pPr>
        <w:pStyle w:val="Heading2"/>
      </w:pPr>
      <w:r>
        <w:t>Erwägungen</w:t>
      </w:r>
    </w:p>
    <w:p>
      <w:r>
        <w:rPr>
          <w:b/>
        </w:rPr>
        <w:t>E. 1</w:t>
      </w:r>
    </w:p>
    <w:p>
      <w:r>
        <w:t>Der Verfahrensgang bis zum erstinstanzlichen Urteil ergibt sich aus dem an- gefochtenen Entscheid (vgl. Urk. 53 S. 4).</w:t>
      </w:r>
    </w:p>
    <w:p>
      <w:r>
        <w:rPr>
          <w:b/>
        </w:rPr>
        <w:t>E. 1.1</w:t>
      </w:r>
    </w:p>
    <w:p>
      <w:r>
        <w:t>Dem Beschuldigten wird in der Anklageschrift zusammengefasst vorge- worfen, in der Nacht vom 30. auf den 31. Januar 2014, zirka zwischen 1.00 Uhr und</w:t>
      </w:r>
    </w:p>
    <w:p>
      <w:r>
        <w:rPr>
          <w:b/>
        </w:rPr>
        <w:t>E. 1.2</w:t>
      </w:r>
    </w:p>
    <w:p>
      <w:r>
        <w:t>Die Vorinstanz erachtete den Anklagesachverhalt gestützt auf die Schilderun- gen der Privatklägerin und die Aussagen der Zeuginnen E._____ (Mutter der Pri- vatklägerin) und F._____ (Schwester der Privatklägerin) sowie den ärztlichen Be-</w:t>
      </w:r>
    </w:p>
    <w:p>
      <w:r>
        <w:t>- 9 - fund von Dr. C._____ grundsätzlich als erstellt. Einzig die Vorwürfe, der Beschul- digte habe einen Finger in die Scheide der Privatklägerin eingeführt und sei ein wenig mit der Penisspitze in ihren Anus eingedrungen, qualifizierte sie als nicht nachweisbar (Urk. 53 S. 16 ff., insbesondere S. 25).</w:t>
      </w:r>
    </w:p>
    <w:p>
      <w:r>
        <w:rPr>
          <w:b/>
        </w:rPr>
        <w:t>E. 1.3</w:t>
      </w:r>
    </w:p>
    <w:p>
      <w:r>
        <w:t>Die Staatsanwaltschaft moniert den Schuldspruch im Berufungsverfahren nicht (Urk. 59; Urk. 102/1-2).</w:t>
      </w:r>
    </w:p>
    <w:p>
      <w:r>
        <w:rPr>
          <w:b/>
        </w:rPr>
        <w:t>E. 1.4</w:t>
      </w:r>
    </w:p>
    <w:p>
      <w:r>
        <w:t>Der Beschuldigte ist nicht geständig, lässt einen Freispruch beantragen und sagte anlässlich der Berufungsverhandlung aus, er sei unschuldig und bestreite die Vorwürfe. Er machte im Wesentlichen geltend, er habe das Zimmer der Privat- klägerin betreten, weil er ein auffälliges Geräusch gehört habe, dessen Art er nicht beschreiben könne. Im Zimmer habe er die Privatklägerin von der Bettkante zur - mitte hin gehoben oder geschoben und das Licht gelöscht. Anschliessend habe er das Zimmer verlassen und sich schlafen gelegt. Es habe dann ein Gespräch im Familienverbund gegeben, welches er so empfunden habe, als müsse er sich irgendwie erklären oder entschuldigen (Urk. 71 S. 5 ff.; Prot. II S. 21). Die Vertei- digung brachte zum Sachverhalt bzw. der Beweiswürdigung vor, dass zufolge Fehlens weiterer Beweismittel wie Tatzeugen und körperlich-medizinischer Unter- suchungsbefunde in erster Linie die Aussagen der Privatklägerin glaubhaft sein müssten, wobei es keine richtige Dokumentation der Erstaussagen der Privat- klägerin nach dem angeblichen Vorfall gebe. Die erst mehrere Jahre nach dem angeblichen Vorfall vorgebrachte Darstellung der Privatklägerin sei unglaubhaft und vermöge nicht zu überzeugen, weshalb der Beschuldigte mangels Beweisen, zumindest aber in dubio pro reo, freizusprechen sei (Urk. 101 S. 4 ff.). 2. Zu den allgemeinen Grundsätzen der Sachverhaltserstellung und der Beweis- würdigung wird vorab auf die zutreffenden Ausführungen der Vorinstanz verwiesen (Urk. 53 S. 14 f.). Sie hat im Übrigen die massgebenden Beweismittel aufgeführt und die Aussagen des Beschuldigten, der Privatklägerin, der Zeuginnen E._____</w:t>
      </w:r>
    </w:p>
    <w:p>
      <w:r>
        <w:t>- 10 - und F._____ sowie den ärztlichen Befund von Dr. C._____ ausführlich und zutref- fend wiedergegeben (Urk. 53 S. 6 ff.). Auch darauf wird verwiesen. 3.1.1. Die Vorinstanz hat sich sehr einlässlich und differenziert mit den Aussagen des Beschuldigten und der Privatklägerin auseinandergesetzt und diese mit zutref- fendem Ergebnis gewürdigt (Urk. 53 S. 18 ff.), was vorbehaltlos übernommen werden kann. Was die Aussagen des Beschuldigten betrifft, ist ihr ohne Weiterun- gen zuzustimmen, wenn sie an deren Wahrheitsgehalt erheblich zweifelt und für die Sachverhaltserstellung nicht darauf abstellt (Urk. 53 S. 19 f.). Anlässlich der Berufungsverhandlung erwähnte der Beschuldigte zudem in Widerspruch zu seinen früheren Aussagen (vgl. Prot. I S. 25) nicht mehr, dass er angeblich ein Licht im Schlafzimmer der Privatklägerin wahrgenommen habe und dass er ihre Zimmer- türe insgesamt zweimal geöffnet habe, was der Glaubhaftigkeit seiner Aussagen ebenfalls abträglich ist. Nachdem die Verteidigung hauptsächlich die Beweiswürdigung im Zusammenhang mit den Aussagen der Privatklägerin moniert, ist im Folgenden nochmals punktuell darauf einzugehen, sofern es das rechtliche Gehör gebietet. 3.1.2. Die Privatklägerin wurde insgesamt zwei Mal einvernommen, namentlich am 6. Dezember 2021 durch die Polizei sowie am 4. März 2022 (inklusive Videoauf- nahme) durch die Staatsanwaltschaft (Urk. 3/1-2 und Urk. 3/4). Überzeugend gelangte die Vorinstanz zusammengefasst zum Schluss, dass sich die Aussagen von Anfang an durch Konstanz auszeichneten, keine strukturellen Brücke vorhan- den seien und sie authentisch und selbst erlebt wirkten. Sodann würde die Privat- klägerin den Beschuldigten nicht in unnatürlicher Weise belasten und gewisse Unsicherheiten offenlegen (vgl. Urk. 53 S. 20 ff.). Die glaubhaften und verlässlichen Aussagen der Privatklägerin werden sodann durch die Aussagen der Zeuginnen E._____ und F._____ gestützt. Wie die Vorin- stanz zutreffend darlegte (vgl. Urk. 53 S. 24 f.), sagte die Zeugin E._____ lebens- nah und schlüssig aus. Insbesondere ist zu betonen, dass keinerlei unnötigen Be- lastungen oder Ausschmückungen erkennbar sind, sondern die Aussagen sich durch Sachlichkeit auszeichnen und die Zeugin auf die Wahrheitsfindung und nicht</w:t>
      </w:r>
    </w:p>
    <w:p>
      <w:r>
        <w:t>- 11 - eine Verurteilung des Beschuldigten bedacht ist. Für eine hohe Glaubhaftigkeit der Aussagen spricht sodann die Wiedergabe der Zeugin dessen, was die Privatkläge- rin ihr am Morgen nach dem Vorfall erzählt hatte, nämlich: "Dann hockte oder kniete er sich zu ihr. Dann fing er an sie sexuell zu berühren. An der Muschi hat sie gesagt und er habe sich an sie gedrückt bzw. habe sie zu sich herangezogen. […] Sie sagte, es sei eine Art Streicheln oder Grabschen gewesen.". Mehr habe die Privat- klägerin nicht erzählt, sie habe nicht darüber reden wollen (Urk. 4B F/A 41 f.). Diese Schilderung zeigt deutlich, dass nicht nur die Art, mit der die damals 10-jährige Privatklägerin ihrer Mutter den Vorfall schilderte, sehr authentisch und nachvoll- ziehbar ist, sondern auch die Wortwahl altersadäquat. Ein 10-jähriges Kind, das altersgemäss weder über eigene sexuelle Erfahrungen verfügt, noch Kenntnis hat von sexuellen Praktiken wie Oral- oder Analverkehr, ist verständlicherweise weder in der Lage, während den tatsächlichen Handlungen klar und differenziert wahrzu- nehmen und einzuordnen, was geschieht, noch dies im Nachgang detailliert wie- derzugeben. Entsprechendes führte die Privatklägerin auch im Zuge der Beantwor- tung der Frage, was sie dazu bewogen habe, Strafanzeige zu erstatten, aus: "Da- mals war dies kein fairer Kampf gewesen. Ich hätte mich niemals so ausdrücken können um zu sagen, was gewesen ist, wie ich gefühlt habe und wie ich es erlebt habe." (Urk. 3/2 F/A 144). Ebenfalls ist nachvollziehbar, dass die Privatklägerin da- mals nicht mehr weiter mit ihrer Mutter über den Vorfall sprechen wollte, zumal es sich um ein sehr schambehaftetes Thema handelte und die Privatklägerin nach eigenen Angaben damals dachte, sie sei schuld und sie ihrer Mutter auch weiterhin die Beziehung zum Beschuldigten ermöglichen wollte (vgl. Urk. 3/2 F/A 144). Ein solches Verhalten, wie namentlich Angst, Scham, Verdrängungs- und Verleug- nungstendenzen sowie die Vermeidung, sich jemandem anzuvertrauen, ist im Üb- rigen notorisch für Opfer sexueller Gewalt (vgl. dazu BGE 147 IV 409 E. 5.4.1). Mit der glaubhaften und verlässlichen Zeugenaussage von E._____ kann im Übrigen auch dem Anliegen der Verteidigung entsprochen werden, dass die "Erstaussage" der Privatklägerin in die Aussagewürdigung miteinbezogen wird. Zwar, diesbezüg- lich ist der Verteidigung Recht zu geben, kann die Zeugin E._____ nur zu Protokoll geben, was sie vom "Hörensagen" weiss, jedoch geben ihre Schilderungen wieder, was sie aus erster Hand von der Privatklägerin sehr zeitnah nach dem Vorfall er-</w:t>
      </w:r>
    </w:p>
    <w:p>
      <w:r>
        <w:t>- 12 - fahren hat. Die Aussagen der Zeugin werden, auch wenn sie den Vorfall nicht selbst wahrgenommen hat, deswegen nicht weniger verlässlich oder gar unbeachtlich. Vielmehr untermauern sie eben gerade die Schilderungen der Privatklägerin und bestätigen wiederum die Verlässlichkeit deren Aussagen. Ebenso verhält es sich mit den Aussagen der Zeugin F._____, die darlegte, wie "unglaublich schwierig" es damals für die Privatklägerin gewesen sei darüber zu reden, sie (die Privatklägerin) habe sich sehr geschämt. Sie habe einfach gesagt, dass der Beschuldigte seine Hand an ihrer Muschi gehabt habe. Zudem ergänzte die Zeugin von sich aus, die Privatklägerin habe dies halt in der Kindersprache erzählt (Urk. 4/4 F/A 42 und 45), was wiederum korrespondiert mit den vorstehend thematisierten Depositionen der Zeugin E._____ und den Schilderungen der Privatklägerin. Ferner beschrieb die Zeugin F._____ ein Gespräch mit dem Beschuldigten, an welchem sie, ihr Bruder und ihre Mutter (E._____) zugegen waren. Einerseits sollten sie dabei vom Beschuldigten aufgrund der Trennung zwischen ihm und E._____ Abschied neh- men können, andererseits sei auch ein klärendes Gespräch das Ziel gewesen. Bei der Schilderung dieses Gesprächs ergibt sich, dass der Beschuldigte offenbar er- zählt hatte, er habe wohl die Zimmer der Privatklägerin und der Mutter verwechselt, was die Zeugin in der Einvernahme damit kommentierte, dass sie es "extrem un- glaubwürdig" fände, dass er angeblich die Zimmer verwechselt habe, weil er ein- fach so oft bei ihnen gewesen sei (Urk. 4/4 F/A 51 ff.). Dass der Beschuldigte die Zimmer verwechselt haben soll, ergibt sich auch aus einer früheren Antwort der Zeugin F._____, als es um das Gespräch ging, in welchem ihr die Mutter (E._____) erzählt habe, was der Grund sei, dass der Beschuldigte nicht mehr bei ihnen sei. Wie die Zeugin F._____ schilderte, soll der Beschuldigte gegenüber E._____ er- klärt haben, er habe ihr Zimmer mit demjenigen der Privatklägerin verwechselt, er habe deshalb die Person auf die Seite geschoben und dabei den Intimbereich der Privatklägerin berührt (vgl. Urk. 4/4 F/A 40). Insgesamt zeigt sich, dass sämtliche Aussagen, namentlich der Privatklägerin und der beiden Zeuginnen, ein stimmiges Ganzes ergeben, wobei keine der aussagen- den Personen zu Aggravierungstendenzen neigt, noch Hinweise bestehen, dass</w:t>
      </w:r>
    </w:p>
    <w:p>
      <w:r>
        <w:t>- 13 - sie ihre Aussagen in irgendeiner Form abgesprochen oder einander angenähert hätten, um den Beschuldigten zu belasten und so eine Verurteilung herbeizuführen. 3.1.3. Ferner äussert sich der von Dr. C._____ verfasste ärztliche Befund über die Privatklägerin vom 13. Juli 2022 (Urk. 24 und Urk. 80/8) unmissverständlich. Die Vorinstanz hat sich damit einlässlich und mit zutreffenden Erwägungen auseinan- dergesetzt (Urk. 53 S. 13 f. und 23 f.), worauf verwiesen wird. Die Privatklägerin wurde über die Opferhilfe des Kinderspitals Zürich am</w:t>
      </w:r>
    </w:p>
    <w:p>
      <w:r>
        <w:rPr>
          <w:b/>
        </w:rPr>
        <w:t>E. 2</w:t>
      </w:r>
    </w:p>
    <w:p>
      <w:r>
        <w:t>Gegen das eingangs wiedergegebene Urteil des Bezirksgerichts Hinwil vom 17. November 2022 (Urk. 53) meldete der Beschuldigte fristgerecht Berufung an (Urk. 46 und 47). Nach Zustellung des begründeten Urteils erfolgte am 17. April 2023 rechtzeitig die Berufungserklärung (Urk. 51 und 55) und nach entsprechender Fristansetzung am 24. Mai 2023 die Anschlussberufung der Staatsanwaltschaft (Urk. 57 und 59). Anträge auf ein Nichteintreten auf die Berufung erfolgten nicht (Urk. 57, 59 und 60).</w:t>
      </w:r>
    </w:p>
    <w:p>
      <w:r>
        <w:rPr>
          <w:b/>
        </w:rPr>
        <w:t>E. 2.00</w:t>
      </w:r>
    </w:p>
    <w:p>
      <w:r>
        <w:t>Uhr, an der damals rund 10-jährigen schlafenden Privatklägerin in deren Kinderzimmer sexuelle Handlungen vorgenommen zu haben. Namentlich soll er sie mit den Händen und den Fingern am Gesäss, an der Scheide und am Anus ge- streichelt und sie im Bereich Anus bis zur Scheide mit seinem Mund berührt und geleckt sowie einen Finger in ihre Scheide eingeführt haben. Danach soll er sich von der Privatklägerin weg zur Türe bewegt haben, weil er befürchtet habe, sie sei aufgewacht. Jedoch habe er sich wieder zurück begeben, weil er geglaubt habe, sie schlafe doch noch und habe die vorgenannten Handlungen wiederholt. Zudem soll der Beschuldigte mehrmals versucht haben, mit seinem Penis in den Anus der Privatklägerin einzudringen, um an ihr den Analverkehr zu vollziehen, wobei es ihm aber nur gelungen sei, ein wenig mit der Spitze des Penis einzudringen (Urk. 21 S. 2 f.).</w:t>
      </w:r>
    </w:p>
    <w:p>
      <w:r>
        <w:rPr>
          <w:b/>
        </w:rPr>
        <w:t>E. 2.1</w:t>
      </w:r>
    </w:p>
    <w:p>
      <w:r>
        <w:t>Die Gerichtsgebühr für das Berufungsverfahren ist auf Fr. 3'600.– festzu- setzen (Art. 424 Abs. 1 StPO in Verbindung mit § 16 Abs. 1 und § 14 Abs. 1 GebV OG).</w:t>
      </w:r>
    </w:p>
    <w:p>
      <w:r>
        <w:rPr>
          <w:b/>
        </w:rPr>
        <w:t>E. 2.2</w:t>
      </w:r>
    </w:p>
    <w:p>
      <w:r>
        <w:t>Bei diesem Verfahrensausgang ist dem Beschuldigten keine Entschädigung für erbetene anwaltliche Verteidigung zuzusprechen.</w:t>
      </w:r>
    </w:p>
    <w:p>
      <w:r>
        <w:t>- 21 -</w:t>
      </w:r>
    </w:p>
    <w:p>
      <w:r>
        <w:rPr>
          <w:b/>
        </w:rPr>
        <w:t>E. 2.3</w:t>
      </w:r>
    </w:p>
    <w:p>
      <w:r>
        <w:t>Die unentgeltliche Rechtsvertretung der Privatklägerin macht für das Berufungsverfahren eine Entschädigung von total Fr. 6'069.25 (inkl. Barauslagen und MwSt.) geltend (Urk. 99). Der Aufwand ist ausgewiesen und angemessen. Unter Berücksichtigung des Umstandes, dass die Berufungsverhandlung vom 1. Juli 2025 mit rund 2 Stunden massgeblich weniger lang gedauert hat, als von der Rechtsvertretung in ihrer Honorarnote schätzungsweise veranschlagt, erweist es sich als angemessen, Rechtsanwältin lic. iur. Y._____ mit pauschal Fr. 5'600.– (inkl. Barauslagen und MwSt.) vorweg aus der Gerichtskasse zu entschädigen (vgl. hierzu nachfolgende Ziff. 2.4.).</w:t>
      </w:r>
    </w:p>
    <w:p>
      <w:r>
        <w:rPr>
          <w:b/>
        </w:rPr>
        <w:t>E. 2.4</w:t>
      </w:r>
    </w:p>
    <w:p>
      <w:r>
        <w:t>Die Kosten des Berufungsverfahrens tragen die Parteien grundsätzlich nach Massgabe ihres Obsiegens oder Unterliegens (Art. 428 Abs. 1 StPO). Der Beschul- digte unterliegt mit seinen Anträgen vollständig. Die Staatsanwalt obsiegt grund- sätzlich bzw. unterliegt mit der beantragten Strafe vernachlässigbar. Die Kosten des Berufungsverfahrens, mit Ausnahme der Kosten der unentgeltlichen Rechts- vertretung der Privatklägerschaft (Art. 426 Abs. 4 StPO), sind deshalb dem Beschuldigten aufzuerlegen. Die Kosten der unentgeltliche Rechtsvertretung der Privatklägerin sind einstweilen auf die Gerichtskasse zu nehmen. Es bleibt die Rü- ckzahlungspflicht des Beschuldigten unter Hinweis auf Art. 135 aAbs. 4 und Art. 138 Abs. 1 StPO vorbehalten. 3. Zufolge Schuldspruchs und ausgesprochener Strafhöhe besteht kein Raum für die vom Beschuldigten geltend gemachte Genugtuung für die von ihm erstan- dene Haft (vgl. Urk. 101 S. 2 und 16), welche ihm im Übrigen angerechnet wird (vgl. oben Erw. III. 3.4.5.)</w:t>
      </w:r>
    </w:p>
    <w:p>
      <w:r>
        <w:t>- 22 - Es wird beschlossen: 1. Es wird festgestellt, dass das Urteil des Bezirksgerichts Hinwil vom 17. November 2022 wie folgt in Rechtskraft erwachsen ist: "Es wird erkannt: 1.-3. […] 4. Es wird kein Kontakt- und Tätigkeitsverbot angeordnet. 5.-7. […] 8. Die Gerichtsgebühr wird angesetzt auf: Fr. 5'000.– ; die weiteren Auslagen betragen: Fr. 3'000.– Gebühr für das Vorverfahren Kosten der amtlichen Verteidigung durch RAin X2._____ (durch die Staatsanwaltschaft I des Kantons Zürich mit Fr. 6'783.10 Verfügung vom 21. März 2022 bereits entschädigt; act 10/18) Gerichtsgebühr Haftbeschwerdeverfahren beim Oberge- Fr. 300.– richt des Kantons Zürich (Geschäfts-Nr. UB220029-O) Gerichtsgebühr Entsiegelungsverfahren beim Zwangs- Fr. 150.– massnahmengericht des Bezirksgerichts Zürich (Geschäfts-Nr. GT220010-L) Fr. 519.33 Gutachten Kosten der unentgeltlichen Rechtsvertretung der Fr. 6'800.– Privatklägerin (inkl. Barauslagen und 7.7% MwSt) 9. […] 10. Die Kosten der amtlichen Verteidigung des Beschuldigten und der unentgeltlichen Rechtsvertretung der Privatklägerin werden auf die Staatskasse genommen. […]</w:t>
      </w:r>
    </w:p>
    <w:p>
      <w:r>
        <w:rPr>
          <w:b/>
        </w:rPr>
        <w:t>E. 3</w:t>
      </w:r>
    </w:p>
    <w:p>
      <w:r>
        <w:t>Im Zuge der Berufungsklärung stellte der Beschuldigte sodann die Beweis- anträge auf Einholung eines Leumundberichts über die Privatklägerin sowie den Beizug der Opferhilfe- und Arztakten der Privatklägerin (Urk. 55). Nach den fristge- rechten Stellungnahmen der Staatsanwaltschaft und der Privatklägerschaft wurden die Anträge schliesslich mit Präsidialverfügung vom 6. Juni 2023 abgewiesen (Urk. 57, 59, 60 und 61).</w:t>
      </w:r>
    </w:p>
    <w:p>
      <w:r>
        <w:rPr>
          <w:b/>
        </w:rPr>
        <w:t>E. 3.1</w:t>
      </w:r>
    </w:p>
    <w:p>
      <w:r>
        <w:t>Zunächst ist bezüglich der Schändung die objektive Tatschwere für die Ver- schuldensbewertung festzulegen. Mit der Vorinstanz ist festzuhalten, dass die vom Beschuldigten vorgenommenen sexuellen Handlungen im Rahmen aller denkbaren Schändungshandlungen einen noch leichten Eingriff in die sexuelle Integrität darstellen, das Ganze von relativ kurzer Dauer war und der Beschuldigte beim Auf- wachen der Privatklägerin von ihr abliess. Jedoch ist nicht ausser Acht zu lassen, dass eine nicht unerhebliche kriminelle Energie vorlag, zumal der Beschuldigte sich ein 10-jähriges Kind als Opfer aussuchte und es in seinem eigenen Kinderzimmer schändete. Dies dürfte bei der Privatklägerin zu einer zusätzlichen Erschütterung des Sicherheitsgefühls und des Vertrauens geführt haben. Insgesamt ist dennoch zu Recht von einem leichten objektiven Tatverschulden auszugehen. In subjektiver Hinsicht ist zu erwähnen, dass der Beschuldigte direktvorsätzlich handelte und er das Kind seiner Lebenspartnerin missbrauchte, was von enormer Empathielosig- keit und beachtlichem Egoismus zeugt. Ferner nutzte er die Vertrauensstellung, die er innerhalb jener Familie inne hatte, schamlos aus, was letztlich sämtliche Famili- enmitglieder tief verunsicherte und erschütterte. Dieser Vertrauensbruch fällt erschwerend ins Gewicht, wobei es insgesamt noch bei einem leichten Tat- verschulden bleibt und die Einsatzstrafe im unteren Drittel des Strafrahmens anzu- siedeln ist. Die von der Vorinstanz festgesetzten 13 Monate sind in Anbetracht der</w:t>
      </w:r>
    </w:p>
    <w:p>
      <w:r>
        <w:t>- 18 - gewichtigen subjektiven Tatschwere aber zu wohlwollend und auf 18 Monate zu korrigieren.</w:t>
      </w:r>
    </w:p>
    <w:p>
      <w:r>
        <w:rPr>
          <w:b/>
        </w:rPr>
        <w:t>E. 3.2</w:t>
      </w:r>
    </w:p>
    <w:p>
      <w:r>
        <w:t>Bezüglich der sexuellen Handlungen mit Kindern ist in objektiver Hinsicht fest- zuhalten, dass der Beschuldigte sich nicht nur durch Anfassen im Genitalbereich sowie durch orale Handlungen an der Privatklägerin verging, sondern er auch zu einer analen Penetration ansetzte. Gerade Letzteres ist vor dem Hintergrund, dass es sich bei der Privatklägerin um ein auf dem Bauch liegendes, schlafendes 10-jähriges Kind handelte, ein an Primitivität kaum zu überbietendes Vorgehen und zeugt von einer hohen kriminellen Energie. Dennoch ist das objektive Tatverschul- den angesichts der denkbaren Tathandlungen gerade noch als leicht zu qualifi- zieren. In subjektiver Hinsicht kann auf die vorstehenden Ausführungen zur Schändung (Ziff. III.3.1) verwiesen werden. Insgesamt ist von einer gerade noch leichten Tatschwere auszugehen und wäre eine Einzelstrafe von 18 Monaten festzusetzen. In Anwendung des Asperationsprinzips ist die Einsatzstrafe von 18 Monaten um 10 Monate auf 28 Monate zu erhöhen.</w:t>
      </w:r>
    </w:p>
    <w:p>
      <w:r>
        <w:rPr>
          <w:b/>
        </w:rPr>
        <w:t>E. 3.3</w:t>
      </w:r>
    </w:p>
    <w:p>
      <w:r>
        <w:t>Die Erwägungen im erstinstanzlichen Urteil zur Täterkomponente sind zutref- fend und bedürfen keiner Ergänzung (Urk. 53 S. 34 f. und 36; Urk. 71 S. 2 ff. i.V.m. Prot. II S. 20 f.). Ebenso ist das Nachtatverhalten des Beschuldigten als neutral zu gewichten. Weitere strafzumessungsrelevante Faktoren sind nicht ersichtlich, womit das Verhalten des Beschuldigten im Ergebnis mit einer Gesamtfreiheitsstrafe von 28 Monaten zu sanktionieren ist. Die Untersuchungshaft von 31 Tagen ist auf die Freiheitsstrafe anzurechnen (Art. 51 StGB). 3.4.1. Der vollständig bedingte Vollzug der ausgefällten Freiheitsstrafe fällt ausser Betracht (Art. 42 StGB). Jedoch kann das Gericht den Vollzug einer Freiheitsstrafe von mindestens einem Jahr und höchstens drei Jahren teilweise aufschieben, wenn dies notwendig ist, um dem Verschulden des Täters Rechnung zu tragen (Art. 43 Abs. 1 StGB). Grundvoraussetzung für die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w:t>
      </w:r>
    </w:p>
    <w:p>
      <w:r>
        <w:t>- 19 -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(BGE 134 IV I E. 5.3.1.). Subjektiv ist mit anderen Worten das Fehlen einer ungünstigen Prognose vorausgesetzt. 3.4.2. Die objektive Voraussetzung zur Gewährung eines teilbedingten Strafvollzu- ges ist mit der ausgesprochenen Freiheitsstrafe von 28 Monaten erfüllt. 3.4.3. In subjektiver Hinsicht bestehen keinerlei Hinweise, die beim Beschuldigten auf eine ungünstige Legalprognose schliessen liessen. Es können ihm grundsätz- lich günstige Umstände attestiert werden, er ist nicht vorbestraft (Urk. 97) und lebt in stabilen und geordneten Verhältnissen (vgl. Ausführungen der Vorinstanz zur Täterkomponente, Urk. 53 S. 34 f.; Urk. 71 S. 1 ff. i.V.m. Prot. II S. 20 f.). Dem Beschuldigten ist deshalb der teilbedingte Vollzug zu gewähren. 3.4.4. Der unbedingt vollziehbare Teil der Freiheitsstrafe muss mindestens 6 Monate betragen, darf aber die Hälfte der Strafe nicht übersteigen (Art. 43 Abs. 2 und 3 StGB). Vorliegend ergibt sich dadurch für den vollziehbaren Teil ein Rahmen zwischen 6 und 14 Monaten. Als Bemessungsregel ist das Ausmass des Verschul- dens zu beachten, dem in genügender Weise Rechnung zu tragen ist. Das Verhält- nis der Strafteile ist so festzusetzen, dass darin die Wahrscheinlichkeit der Bewäh- 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(Urteil des Bundesgerichts 6B_632/2016 vom 6. September 2016 E. 1.3). Die Legalprognose des Beschuldigten ist ungetrübt. Das Verschulden wurde bezüglich der Schändung als noch leicht und betreffend der sexuellen Handlungen mit Kindern als gerade noch leicht eingestuft. Ein zu vollziehender Teil im unteren Bereich von 6 Monaten würde dem Umstand, dass mehrere Straftatbestände erfüllt</w:t>
      </w:r>
    </w:p>
    <w:p>
      <w:r>
        <w:t>- 20 - sind, nicht gerecht werden, jedoch wären ebenso 14 Monate unverhältnismässig, zumal das Verschulden gerade noch leicht wiegt. Der vollziehbare Teil ist deshalb, auch in Anbetracht der Legalprognose, bei 8 Monaten festzusetzen und es ist eine Probezeit von 2 Jahren vorzusehen (Art. 44 Abs. 1 StGB). 3.4.5. Zusammenfassend ist der Beschuldigte mit einer Freiheitsstrafe von 28 Monaten zu bestrafen, wobei 8 Monate (abzüglich 31 Tage für erstandene Haft) zu vollziehen sind. Die restlichen 20 Monate Freiheitsstrafe sind aufzuschieben, un- ter Ansetzung einer Probezeit von 2 Jahren. IV. Zivilforderungen Die Verteidigung, die auf einen vollen Freispruch plädiert hatte, hat sich zu den geltend gemachten Zivilansprüchen nicht geäussert (Urk. 101). Nachdem die Schuldsprüche im Berufungsverfahren zu bestätigen sind, sind mit Verweis auf die zutreffenden Erwägungen der Vorinstanz (Urk. 53 S. 39 ff.) auch die korrekt und adäquat bemessenen Zivilansprüche zu übernehmen und zu bestätigen. Entspre- chend ist der Beschuldigte zu verpflichten, der Privatklägerin Schadenersatz von Fr. 147.45 zuzüglich 5% Zins ab 7. Juli 2014 sowie eine Genugtuung von Fr. 5'500.– zuzüglich Zins ab 31. Januar 2014 zu bezahlen. Für künftigen Schaden ist der Beschuldigte sodann gegenüber der Privatklägerin dem Grundsatze nach schadenersatzpflichtig. V. Kosten- und Entschädigungsfolgen 1. Ausgangsgemäss ist die erstinstanzliche Kostenauflage (Urk. 53 Dispositiv- ziffer 9 und 10, 2. Satz) unter Hinweis auf Art. 426 Abs. 1 StPO inkl. des Nach- forderungsvorbehalts gemäss Art. 135 aAbs. 4 StPO zu bestätigen.</w:t>
      </w:r>
    </w:p>
    <w:p>
      <w:r>
        <w:rPr>
          <w:b/>
        </w:rPr>
        <w:t>E. 4</w:t>
      </w:r>
    </w:p>
    <w:p>
      <w:r>
        <w:t>Zur Berufungsverhandlung vom 15. Mai 2024 erschienen der Beschuldigte in Begleitung seines Verteidigers lic. iur. X1._____, Staatsanwältin lic. iur. B._____ sowie die Privatklägerin in Begleitung ihrer Vertreterin, lic. iur. Y._____, und ihrer Mutter (Prot. II S. 7). Die Publikumsöffentlichkeit wurde auf Antrag der Privatkläge- rin mit Verfügung vom 7. Februar 2024 ausgeschlossen und akkreditierte Gerichts- berichterstatter nur unter Auflagen zur Berufungsverhandlung zugelassen (Urk. 57, 60 und 63). Anlässlich der Berufungsverhandlung erneuerte der Beschuldigte seine im Zuge der Berufungserklärung gestellten Beweisanträge (Urk. 70; Prot. II S. 9 ff.). Der Beweisantrag auf Beizug der Opferhilfeakten der Privatklägerin wurde gutge- heissen und die Berufungsverhandlung zu diesem Zweck unterbrochen. Die übri- gen Beweisanträge wurden abgewiesen (Urk. 72; Prot. II S. 13). Als Ergebnis der Beweisabnahme fanden handschriftliche Notizen von Dr. DR. C._____ (nachfol-</w:t>
      </w:r>
    </w:p>
    <w:p>
      <w:r>
        <w:t>- 6 - gend: Dr. C._____), welche letztlich Grundlage für seinen ärztlichen Befund bilde- ten (Urk. 82/2), sowie ein Journalauszug der Opferhilfe (Urk. 82/1) Eingang in die Akten. Nach Eingang der fristgerechten Stellungnahmen der Staatsanwaltschaft, der Privatklägerschaft und des Beschuldigten zu den neuen Akten (Urk. 85, 90 und 92) wurde zur Fortsetzung der Berufungsverhandlung vorgeladen (Urk. 95). Über- dies wurde ein aktueller Strafregisterauszug über den Beschuldigten eingeholt (Urk. 97).</w:t>
      </w:r>
    </w:p>
    <w:p>
      <w:r>
        <w:rPr>
          <w:b/>
        </w:rPr>
        <w:t>E. 5</w:t>
      </w:r>
    </w:p>
    <w:p>
      <w:r>
        <w:t>Zur Fortsetzung der Berufungsverhandlung vom 1. Juli 2025 erschienen der Beschuldigte in Begleitung seines Verteidigers lic. iur. X1._____ und seiner Ehefrau D._____ als Vertrauensperson, Staatsanwältin lic. iur. B._____ sowie die Privatklä- gerin in Begleitung ihrer Vertreterin, lic. iur. Y._____, und ihrer Mutter ebenfalls als Vertrauensperson (Prot. II S. 18). Der Beschuldigte stellte erneut Beweisanträge, die allesamt abgewiesen wurden (vgl. nachfolgend Ziff. I.8.). Während der Beru- fungsverhandlung wurde ein Strafregisterauszug über die Privatklägerin eingeholt und den Parteien zur Einsicht vorgelegt (Urk. 100; Prot. II S. 21 ff.). Das Verfahren ist spruchreif.</w:t>
      </w:r>
    </w:p>
    <w:p>
      <w:r>
        <w:rPr>
          <w:b/>
        </w:rPr>
        <w:t>E. 6</w:t>
      </w:r>
    </w:p>
    <w:p>
      <w:r>
        <w:t>Die Berufung des Beschuldigten richtet sich gegen die Dispositivziffern 1 (Schuldspruch), 2 (Strafe), 3 (Vollzug), 5 - 7 (Zivilansprüche), 9 (Kostenauflage) und 10, 2. Satz (Nachforderungsvorbehalt), die Anschlussberufung der Staatsan- waltschaft gegen die Bemessung der Strafe (Dispositivziffern 2 und 3) (Urk. 55, 59, 101 und 102/1). Folglich ist das vorinstanzliche Urteil vom 17. November 2022 im übrigen Umfang (Dispositivziffern 4, 8 und 10, 1. Satz) in Rechtskraft erwachsen, was mittels Beschluss festzustellen ist.</w:t>
      </w:r>
    </w:p>
    <w:p>
      <w:r>
        <w:rPr>
          <w:b/>
        </w:rPr>
        <w:t>E. 7</w:t>
      </w:r>
    </w:p>
    <w:p>
      <w:r>
        <w:t>Am 1. Januar 2024 trat die revidierte Strafprozessordnung (StPO) in Kraft. Auf das vorliegende Berufungsverfahren sind die früheren, im Zeitpunkt des vorinstanz- lichen Entscheids geltenden Strafprozessnormen anwendbar (Art. 453 Abs. 1 StPO). 8.1. Welchen Beweiswert der ärztliche Befund von Dr. C._____ vom 13. Juli 2022 (Urk. 24) hat, ist im Rahmen der nachfolgenden Beweiswürdigung zu klären. Er ist strafprozessual korrekt zu den Akten erhoben worden und uneingeschränkt ver-</w:t>
      </w:r>
    </w:p>
    <w:p>
      <w:r>
        <w:t>- 7 - wertbar. Es besteht folglich entgegen der Verteidigung (Urk. 86 S. 1 ff.) kein Anlass, den ärztlichen Befund aus den Akten zu entfernen. 8.2. Von einer Einvernahme von Dr. C._____ sind – entgegen der Verteidigung (Urk. 98) – keine neuen Erkenntnisse zu erwarten. Die ärztlichen Konsultationen der Privatklägerin liegen über zehn Jahre zurück, weshalb davon auszugehen ist, dass Dr. C._____ auf seinen ärztlichen Befund (Urk. 24) und die handschriftlichen Notizen, welche im Rahmen seiner psychiatrischen Beratung und Begleitung der Privatklägerin gemacht wurden (Urk. 82/2), abstellen würde. Dies gilt umso mehr, als die Privatklägerin kaum die einzige Klientin von Dr. C._____ war. 8.3. Der allgemeinen Glaubwürdigkeit einer Person kommt nach der bundesge- richtlichen Rechtsprechung nur noch untergeordnete Bedeutung zu. Entscheidend für den Beweiswert einer konkreten Aussage ist vielmehr deren Glaubhaftigkeit. Abklärungen zum Vorleben und zu den persönlichen Verhältnissen sind daher nur notwendig, wenn Zweifel an der Glaubwürdigkeit bestehen und diese Zweifel geeignet sind, sich auf die konkrete Beweiswürdigung, d.h. die Glaubhaftigkeit der Aussagen auszuwirken (BGE 147 IV 534 E. 2.3.3; vgl. auch Urteil BGer 6B_1054/2023 vom 19. Februar 2024 E. 1.1.1.). Mangels Vorliegens entsprechen- der Hinweise besteht kein Anlass, einen Leumundsbericht über die Privatklägerin, die nicht im Strafregister verzeichnet ist (Urk. 100), einzuholen. 8.4. Dementsprechend waren die anlässlich der Berufungsverhandlung vom 1. Juli 20215 gestellten Beweisanträge des Beschuldigten abzuweisen.</w:t>
      </w:r>
    </w:p>
    <w:p>
      <w:r>
        <w:rPr>
          <w:b/>
        </w:rPr>
        <w:t>E. 9</w:t>
      </w:r>
    </w:p>
    <w:p>
      <w:r>
        <w:t>Soweit für die tatsächliche und rechtliche Würdigung des eingeklagten Sach- verhaltes auf die Erwägungen der Vorinstanz verwiesen wird, so erfolgt dies in An- wendung von Art. 82 Abs. 4 StPO, auch ohne dass dies jeweils explizit Erwähnung findet. Stimmt die Rechtsmittelinstanz der Vorinstanz grundsätzlich zu und hat sie bloss nebensächliche Vorbehalte, kann sie punktuelle Korrekturen formulieren und im Übrigen auf die vorinstanzliche Begründung verweisen (Urteil 6B_1164/2023 vom 7. Oktober 2024 E. 3.2 mit Hinweis). Weiter ist an dieser Stelle festzuhalten, dass aus dem Anspruch auf rechtliches Gehör die Pflicht des Gerichts folgt, seinen Entscheid zu begründen. Die Begründung muss kurz die wesentlichen Überlegun-</w:t>
      </w:r>
    </w:p>
    <w:p>
      <w:r>
        <w:t>- 8 - gen nennen, von denen sich das Gericht hat leiten lassen und auf die es seinen Entscheid stützt. Es darf sich aber auf die wesentlichen Gesichtspunkte beschrän- ken und muss sich nicht ausdrücklich mit jeder tatsächlichen Behauptung und jedem rechtlichen Einwand auseinandersetzen und diese widerlegen. Es kann sich mithin auf die für den Entscheid wesentlichen Punkte beschränken. Ein unverhält- nismässiger Motivationsaufwand kann nicht eingefordert werden. Ebenso wenig lässt sich Art. 6 Ziff. 1 EMRK in der Weise auslegen, dass eine detaillierte Antwort auf jedes Argument gefordert würde (BGE 146 IV 297 E. 2.2.7; 143 III 65 E. 5.2; 141 IV 249 E. 1.3.1; BGer 6B_689/2019 vom 25. Oktober 2019 E. 1.5.2., mit Hinweisen; in diesem Sinne gegen eine "überbordende Begründungspflicht" [namentlich in Strafsachen] auch François Chaix, Bundesgerichtspräsident, in Plädoyer 3/2025, S. 20 f.). II. Schuldpunkt</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- 25 - Die Beschwerdelegitimation und die weiteren Beschwerdevoraussetzungen richten sich nach den massgeblichen Bestimmungen des Bundesgerichts- gesetzes. Obergericht des Kantons Zürich I. Strafkammer Zürich, 1. Juli 2025 Die Präsidentin: Die Gerichtsschreiberin: ORin lic. iur. M. Knüsel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