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SB230227 vom 13. Dezember 2023</w:t>
      </w:r>
    </w:p>
    <w:p>
      <w:r>
        <w:t>ZH Obergericht, 2023-12-13, DE</w:t>
      </w:r>
    </w:p>
    <w:p>
      <w:r>
        <w:rPr>
          <w:b/>
        </w:rPr>
        <w:t xml:space="preserve">Quelle: </w:t>
      </w:r>
      <w:r>
        <w:t>https://mcp.opencaselaw.ch/entscheid/zh_obergericht_SB230227</w:t>
      </w:r>
    </w:p>
    <w:p>
      <w:r>
        <w:t>FR: ZH_OBERGERICHT SB230227 du 13 décembre 2023</w:t>
      </w:r>
    </w:p>
    <w:p>
      <w:r>
        <w:t>IT: ZH_OBERGERICHT SB230227 del 13 dicembre 2023</w:t>
      </w:r>
    </w:p>
    <w:p>
      <w:pPr>
        <w:pStyle w:val="Heading2"/>
      </w:pPr>
      <w:r>
        <w:t>Erwägungen</w:t>
      </w:r>
    </w:p>
    <w:p>
      <w:r>
        <w:rPr>
          <w:b/>
        </w:rPr>
        <w:t>E. 7</w:t>
      </w:r>
    </w:p>
    <w:p>
      <w:r>
        <w:t>Das Schadenersatzbegehren des Privatklägers 1 (A._____) wird auf den Zi- vilweg verwiesen.</w:t>
      </w:r>
    </w:p>
    <w:p>
      <w:r>
        <w:t>- 22 -</w:t>
      </w:r>
    </w:p>
    <w:p>
      <w:r>
        <w:rPr>
          <w:b/>
        </w:rPr>
        <w:t>E. 8</w:t>
      </w:r>
    </w:p>
    <w:p>
      <w:r>
        <w:t>Der Beschuldigte B._____ wird unter solidarischer Haftung mit den Mitbe- schuldigten D._____, E._____, F._____, C._____, G._____, sowie I._____ verpflichtet, dem Privatkläger 1 (A._____) Fr. 2'000.– als Genugtuung zu be- zahlen. Im Mehrbetrag wird das Genugtuungsbegehren auf den Zivilweg verwiesen.</w:t>
      </w:r>
    </w:p>
    <w:p>
      <w:r>
        <w:rPr>
          <w:b/>
        </w:rPr>
        <w:t>E. 9</w:t>
      </w:r>
    </w:p>
    <w:p>
      <w:r>
        <w:t>Das erstinstanzliche Kostendispositiv (Ziffern 10 und 11) wird bestätigt.</w:t>
      </w:r>
    </w:p>
    <w:p>
      <w:r>
        <w:rPr>
          <w:b/>
        </w:rPr>
        <w:t>E. 10</w:t>
      </w:r>
    </w:p>
    <w:p>
      <w:r>
        <w:t>Die zweitinstanzliche Gerichtsgebühr für das erste (mündliche) Berufungs- verfahren SB190211 wird festgesetzt auf: Fr. 4'000.– ; die weiteren Kosten betragen: amtliche Verteidigung (bereits ausbezahlt, Verfahren Fr. 16'000.– SB190211) Anteil unentgeltliche Verbeiständung (1/7; bereits aus- Fr. 2'071.45 bezahlt, Verfahren SB190211)</w:t>
      </w:r>
    </w:p>
    <w:p>
      <w:r>
        <w:rPr>
          <w:b/>
        </w:rPr>
        <w:t>E. 11</w:t>
      </w:r>
    </w:p>
    <w:p>
      <w:r>
        <w:t>Die Kosten des ersten (mündlichen) Berufungsverfahrens SB190211 werden – mit Ausnahme der Kosten der amtlichen Verteidigung und der unentgeltli- chen Vertretung der Privatklägerschaft – dem Beschuldigten zu zwei Dritteln auferlegt. Im Übrigen (1/3) werden sie auf die Gerichtskasse genommen. Die Kosten der amtlichen Verteidigung im ersten (mündlichen) Berufungs- verfahren SB190211 werden auf die Gerichtskasse genommen. Die Rück- zahlungspflicht des Beschuldigten für diese Kosten bleibt gemäss Art. 135 Abs. 4 StPO im Umfang der Kostenauflage (2/3) vorbehalten. Die Kosten der unentgeltlichen Vertretung der Privatklägerschaft im ersten (mündlichen) Berufungsverfahren SB190211 werden definitiv auf die Ge- richtskasse genommen.</w:t>
      </w:r>
    </w:p>
    <w:p>
      <w:r>
        <w:rPr>
          <w:b/>
        </w:rPr>
        <w:t>E. 12</w:t>
      </w:r>
    </w:p>
    <w:p>
      <w:r>
        <w:t>Die zweitinstanzliche Gerichtsgebühr für das zweite (schriftliche) Berufungs- verfahren SB230227 fällt ausser Ansatz. Die weiteren Kosten betragen Fr. 2'100.– für die amtliche Verteidigung und werden definitiv auf die Ge- richtskasse genommen.</w:t>
      </w:r>
    </w:p>
    <w:p>
      <w:r>
        <w:t>- 23 -</w:t>
      </w:r>
    </w:p>
    <w:p>
      <w:r>
        <w:rPr>
          <w:b/>
        </w:rPr>
        <w:t>E. 13</w:t>
      </w:r>
    </w:p>
    <w:p>
      <w:r>
        <w:t>Schriftliche Mitteilung vollständiger Ausfertigung an − die amtliche Verteidigung im Doppel für sich und zuhanden des Beschuldigten − die Staatsanwaltschaft Winterthur/Unterland − den Vertreter der Privatklägerschaft, dreifach für sich und die Privatkläger 1 und 2 − das Migrationsamt des Kantons Zürich und nach unbenütztem Ablauf der Rechtsmittelfrist bzw. Erledigung allfälli- ger Rechtsmittel an − die Vorinstanz − das Migrationsamt des Kantons Zürich − die Koordinationsstelle VOSTRA/DNA mit dem Formular "Löschung des DNA-Profils und Vernichtung des ED-Materials" sowie mit Formular A.</w:t>
      </w:r>
    </w:p>
    <w:p>
      <w:r>
        <w:rPr>
          <w:b/>
        </w:rPr>
        <w:t>E. 14</w:t>
      </w:r>
    </w:p>
    <w:p>
      <w:r>
        <w:t>Gegen diesen Entscheid kann bundesrechtliche Beschwerde in Straf- sachen erhoben werden. Die Beschwerde ist innert 30 Tagen, von der Zustellung der vollständigen, begründeten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w:t>
      </w:r>
    </w:p>
    <w:p>
      <w:r>
        <w:t>- 24 - Obergericht des Kantons Zürich II. Strafkammer Zürich, 13. Dezember 2023 Der Präsident: Der Gerichtsschreiber: Oberrichter lic. iur. Stiefel MLaw Andres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