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SB230208 vom 3. Juli 2024</w:t>
      </w:r>
    </w:p>
    <w:p>
      <w:r>
        <w:t>ZH Obergericht, 2024-07-03, DE</w:t>
      </w:r>
    </w:p>
    <w:p>
      <w:r>
        <w:rPr>
          <w:b/>
        </w:rPr>
        <w:t xml:space="preserve">Quelle: </w:t>
      </w:r>
      <w:r>
        <w:t>https://mcp.opencaselaw.ch/entscheid/zh_obergericht_SB230208</w:t>
      </w:r>
    </w:p>
    <w:p>
      <w:r>
        <w:t>FR: ZH_OBERGERICHT SB230208 du 3 juillet 2024</w:t>
      </w:r>
    </w:p>
    <w:p>
      <w:r>
        <w:t>IT: ZH_OBERGERICHT SB230208 del 3 luglio 2024</w:t>
      </w:r>
    </w:p>
    <w:p>
      <w:pPr>
        <w:pStyle w:val="Heading2"/>
      </w:pPr>
      <w:r>
        <w:t>Erwägungen</w:t>
      </w:r>
    </w:p>
    <w:p>
      <w:r>
        <w:rPr>
          <w:b/>
        </w:rPr>
        <w:t>E. 1</w:t>
      </w:r>
    </w:p>
    <w:p>
      <w:r>
        <w:t>Mit dem eingangs im Dispositiv wiedergegebenen Urteil des Bezirksgerichts Zürich, 4. Abteilung, vom 9. Januar 2023 (Urk. 160) wurde der Beschuldigte der mehrfachen, teilweise versuchten Drohung im Sinne von Art. 180 Abs. 1 StGB, teil- weise in Verbindung mit Art. 22 Abs. 1 StGB (Dossier 1, Vorwurf betreffend E-Mail vom 11. März 2022), der mehrfachen Beschimpfung im Sinne von Art. 177 Abs. 1 StGB, des Vergehens gegen das Waffengesetz im Sinne von Art. 33 Abs. 1 lit. a WG in Verbindung mit Art. 4 Abs. 1 lit. c WG, Art. 5 Abs. 2 lit. a WG und Art. 7 Abs. 1 WV sowie der Übertretung des Betäubungsmittelgesetzes im Sinne von Art. 19a Ziff. 1 BetmG in Verbindung mit Art. 19 Abs. 1 lit. d BetmG schuldig ge- sprochen. Von der Drohung im Sinne von Art. 180 Abs. 1 StGB (Dossier 1, Vorwurf betreffend Anruf oder Voicemail vom 29. März 2022) und dem mehrfachen Miss- brauch einer Fernmeldeanlage im Sinne von Art. 179septies StGB wurde er freige- sprochen. Der Beschuldigte wurde mit einer Freiheitsstrafe von 7 Monaten, einer Geldstrafe von 30 Tagessätzen zu Fr. 30.– und einer Busse von Fr. 100.– bestraft. Es wurde eine stationäre therapeutische Massnahme im Sinne von Art. 59 StGB (Behandlung von psychischen Störungen) angeordnet. Mit Beschluss vom 9. Ja- nuar 2023 verlängerte die Vorinstanz die Sicherheitshaft des sich seit 30. März 2022 in Untersuchungs- bzw. seit 7. Oktober 2022 in Sicherheitshaft befindenden Beschuldigten bis zum möglichen Massnahmeantritt, einstweilen längstens aber</w:t>
      </w:r>
    </w:p>
    <w:p>
      <w:r>
        <w:t>- 7 - bis zum 9. Mai 2023 (Urk. 123). Gegen diesen Beschluss liess der Beschuldigte innert Frist Beschwerde erheben (Urk. 131). Mit Beschluss vom 3. Februar 2023 wies die III. Strafkammer des Obergerichts des Kantons Zürich diese Beschwerde ab. Auch das Bundesgericht wies die gegen den Beschluss des Obergerichts vom Beschuldigten erhobene Beschwerde ab, soweit es darauf eintrat (Urk. 162).</w:t>
      </w:r>
    </w:p>
    <w:p>
      <w:r>
        <w:rPr>
          <w:b/>
        </w:rPr>
        <w:t>E. 2</w:t>
      </w:r>
    </w:p>
    <w:p>
      <w:r>
        <w:t>Gegen das vorinstanzliche Urteil vom 9. Januar 2023 meldete der Beschul- digte mit Eingabe vom 17. Januar 2023 rechtzeitig Berufung an (Urk. 130). Mit Prä- sidialverfügung vom 17. April 2023 wurde dem Beschuldigten und der Staatsan- waltschaft Frist angesetzt, um zur Frage einer allfälligen Verlängerung der Sicher- heitshaft und zur Frage eines vorzeitigen Massnahmeantritts Stellung zu nehmen (Urk. 166). Nach Erhalt des begründeten Urteils der Vorinstanz (vgl. Urk. 160) reichte der Beschuldigte mit Eingabe vom 24. April 2023 innert der gesetzlichen Frist von Art. 399 Abs. 3 StPO seine Berufungserklärung ein und stellte einen Be- weisantrag (Ergänzungsfrage zum psychiatrischen Gutachten; Urk. 171). Nach Eingang der entsprechenden Stellungnahmen bezüglich Sicherheitshaft/vorzeitiger Massnahmeantritt (Urk. 169 und 170 bzw. 173 und 174) wurde mit Präsidialver- fügung vom 4. Mai 2023 entschieden, dass die Sicherheitshaft bis zum möglichen (vorzeitigen) Massnahmeantritt, längstens jedoch zum Entscheid der Berufungsin- stanz in der Sache selbst, fortdauert (Urk. 175). Mit Präsidialverfügung vom 9. Mai 2023 wurde sodann dem Privatkläger und der Staatsanwaltschaft Frist angesetzt, um zu erklären, ob Anschlussberufung erhoben werde, oder um begründet ein Nichteintreten auf die Berufung zu beantragen. Auch wurde der Staatsanwaltschaft Frist angesetzt, um zum Beweisantrag des Beschuldigten Stellung zu nehmen (Urk. 177). Mit Eingaben vom 19. Mai 2023 und 23. Mai 2023 mitsamt Beilagen beantragte der Beschuldigte sinngemäss einen Wechsel der amtlichen Verteidi- gung (Urk. 179-182/1-2). Mit Präsidialverfügung vom 25. Mai 2023 wurde dem amt- lichen Verteidiger und der Staatsanwaltschaft Frist zur freigestellten Vernehmlas- sung angesetzt (Urk. 184). Die Staatsanwaltschaft erklärte, auf eine Anschlussbe- rufung zu verzichten (Urk. 186). Auch der Privatkläger erhob keine Anschluss- berufung. Mit Eingabe vom 30. Mai 2023 zeigte Rechtsanwältin lic. iur. X1._____ an, den Beschuldigten zu vertreten und ersuchte um Akteneinsicht und um eine Besuchsbewilligung (Urk. 187-189). Mit Eingabe vom 31. Mai 2023 stellte der Be-</w:t>
      </w:r>
    </w:p>
    <w:p>
      <w:r>
        <w:t>- 8 - schuldigte ein erneutes Gesuch um Wechsel der amtlichen Verteidigung (Urk. 190). Am 5. Juni 2023 liess der Beschuldigte einerseits vertreten durch Rechtsanwältin lic. iur. X1._____ und andererseits vertreten durch die bisherige amtliche Verteidi- gung, Rechtsanwalt Dr. iur. X2._____, je mit separaten Eingaben Beschwerde beim Bundesgericht gegen die Präsidialverfügung vom 4. Mai 2023 einreichen (Urk. 193). Der amtliche Verteidiger, Rechtsanwalt Dr. iur. X2._____, nahm innert Frist Stellung zum beantragten Wechsel der amtlichen Verteidigung (Urk. 199). Mit Präsidialverfügung vom 16. Juni 2023 wurde Rechtsanwalt Dr. iur. X2._____ als amtlicher Verteidiger entlassen und als neue amtliche Verteidigerin wurde Rechts- anwältin lic. iur. X1._____ bestellt (Urk. 201). Gegen diese Verfügung erhob Rechtsanwalt Dr. iur. X2._____ Beschwerde beim Bundesgericht (Urk. 227).</w:t>
      </w:r>
    </w:p>
    <w:p>
      <w:r>
        <w:rPr>
          <w:b/>
        </w:rPr>
        <w:t>E. 2.1</w:t>
      </w:r>
    </w:p>
    <w:p>
      <w:r>
        <w:t>Die zweitinstanzliche Gerichtsgebühr ist auf Fr. 3'600.– festzusetzen (vgl. Art. 424 Abs. 1 StPO in Verbindung mit § 16 Abs. 1 und § 14 Abs. 1 GebV OG).</w:t>
      </w:r>
    </w:p>
    <w:p>
      <w:r>
        <w:rPr>
          <w:b/>
        </w:rPr>
        <w:t>E. 2.2</w:t>
      </w:r>
    </w:p>
    <w:p>
      <w:r>
        <w:t>Die Parteien tragen die Kosten des Berufungsverfahrens nach Massgabe ihres Obsiegens und Unterliegens (Art. 428 Abs. 1 StPO). Der Beschuldigte obsiegt mit seinen Anträgen teilweise. So ist das Verfahren bezüglich der versuchten Drohung einzustellen, es wird keine Freiheitstrafe ausgefällt und keine stationäre Massnahme angeordnet. Es erfolgt jedoch ein Schuldspruch wegen Drohung mit entsprechender Bestrafung. Es erscheint angemessen, die Kosten des Berufungs- verfahrens, einschliesslich derjenigen der amtlichen Verteidigung, dem Beschuldig- ten zu 2/3 aufzuerlegen und zu 1/3 auf die Gerichtskasse zu nehmen.</w:t>
      </w:r>
    </w:p>
    <w:p>
      <w:r>
        <w:rPr>
          <w:b/>
        </w:rPr>
        <w:t>E. 2.3</w:t>
      </w:r>
    </w:p>
    <w:p>
      <w:r>
        <w:t>Der vormalige amtliche Verteidiger, Rechtsanwalt Dr. iur. X2._____ reichte am 10. Oktober 2023 eine Honorarnote über Fr. 7'326.25 ins Recht (Urk. 289). Die-</w:t>
      </w:r>
    </w:p>
    <w:p>
      <w:r>
        <w:t>- 30 - ser Betrag ist ausgewiesen und wurde bereits am 12. Oktober 2023 zur Zahlung aus der Gerichtskasse veranlasst (Urk. 289A).</w:t>
      </w:r>
    </w:p>
    <w:p>
      <w:r>
        <w:rPr>
          <w:b/>
        </w:rPr>
        <w:t>E. 2.4</w:t>
      </w:r>
    </w:p>
    <w:p>
      <w:r>
        <w:t>Für die amtliche Verteidigung des Beschuldigten im Berufungsverfahren werden von der (neuen) amtlichen Verteidigerin, Rechtsanwältin X1._____, insgesamt Fr. 21'443.60 (inkl. MwSt und Barauslagen; Urk. 295), Fr. 16'408.25 (inkl. MwSt und Barauslagen; Urk. 327) sowie zusätzliche Barauslagen von Fr. 135.– (exkl. MwSt; Urk. 334) geltend gemacht. Gemäss § 18 Abs. 1 AnwGebV OG in Verbindung mit § 17 Abs. 1 lit. b AnwGebV OG reicht der anwendbare Tarifrahmen für das Verteidigerhonorar im Berufungs- prozess bei Straffällen im kollegialgerichtlichen Zuständigkeitsbereich in der Regel von Fr. 1'000.– bis Fr. 28'000.–. Konkret erfolgt die Festsetzung der Entschädi- gungssumme bei einer Honorarbemessung nach Pauschalgebühr so, dass alle prozessualen Bemühungen zusammen als einheitliches Ganzes aufgefasst wer- den, wohingegen der tatsächlich geleistete Zeitaufwand nur sehr bedingt berück- sichtigt wird. Entsprechend ist das Gericht bei der rein pauschalen Entschädigungs- bemessung auch nicht gehalten, sich mit den in der Honorarnote der Verteidigung enthaltenen Aufwandspositionen im Einzelnen auseinanderzusetzen (BGE 143 IV 453 E. 2.5). Nach Massgabe von § 2 Abs. 1 AnwGebV OG bemisst sich die Gebühr vielmehr vor allem nach der Bedeutung der Strafsache, der Verantwortung der Verteidigung und der Schwierigkeit des Falls. Vorliegend ist zu berücksichtigen, dass für den Beschuldigten das Verfahren von einiger Bedeutung war, weil eine stationäre Massnahme zur Beurteilung stand. Ebenfalls ist zu berücksichtigen, dass der Berufungsverhandlung ein Haft- entlassungsverfahren voranging. Die Zusammenarbeit der Verteidigung mit dem Beschuldigten war aufgrund seiner Krankheit nicht einfach. Hingegen weist der Fall keine komplexen rechtlichen Fragen auf. In Bezug auf die Vorwürfe ergab sich im Berufungsverfahren auch nichts Neues, das die Sachlage in tatsächlicher oder rechtlicher Hinsicht geändert hätte. Die Verteidigung äusserte sich in ihrem Plä- doyer vor dem Berufungsgericht nochmals ausführlich zur Prozessgeschichte, die aus den Akten hinlänglich bekannt war. Das schlug sich in einem beträchtlichen Ausarbeitungsaufwand über rund 27 Stunden alleine für das Plädoyer nieder. Un-</w:t>
      </w:r>
    </w:p>
    <w:p>
      <w:r>
        <w:t>- 31 - geachtet der Bedeutung des Verfahrens für den Beschuldigten persönlich ist auch die Tragweite des Falles innerhalb der Bandbreite der möglichen Delikte bestenfalls als maximal durchschnittlich zu bezeichnen. In Anbetracht der dargelegten Um- stände erweist sich der geltend gemachte Aufwand von rund Fr. 37'986.– (inkl. MwSt) als zu hoch. Als angemessen erscheint ein Pauschalbetrag von Fr. 25'000.– (exkl. MwSt). Die amtliche Verteidigerin, Rechtsanwältin X1._____ ist daher mit Fr. 27'025.– (inkl. MwSt und Barauslagen) aus der Gerichtskasse zu entschädigen, wobei ihr bereits Fr. 8'000.– ausbezahlt wurden (Urk. 297). Die Kosten der amtlichen Verteidigung (Rechtsanwalt X2._____ und Rechtsanwäl- tin X1._____) im Berufungsverfahren sind einstweilen auf die Gerichtskasse zu nehmen. Ein staatlicher Rückzahlungsanspruch über 2/3 der Kosten ist vorzube- halten (Art. 135 Abs. 4 StPO). Es wird erkannt: 1. Das Verfahren wird bezüglich des Vorwurfs der versuchten Drohung im Sinne von Art. 180 Abs. 1 StGB in Verbindung mit Art. 22 Abs. 1 StGB (Dossier 1, Vorwurf betreffend E-Mail vom 11. März 2022) eingestellt. 2. Der Beschuldigte A._____ ist schuldig der Drohung im Sinne von Art. 180 Abs. 1 StGB (Dossier 1, Vorwurf betreffend E-Mail vom 11. März 2022). 3. Der Beschuldigte wird bestraft mit einer Geldstrafe von 170 Tagessätzen zu Fr. 30.– sowie einer Busse von Fr. 100.–. 4. Die Geldstrafe wird vollzogen, wobei festgestellt wird, dass diese durch die erstandene Haft vollständig abgegolten ist. 5. Die Busse ist zu bezahlen, wobei festgestellt wird, dass diese durch die er- standene Haft als geleistet gilt.</w:t>
      </w:r>
    </w:p>
    <w:p>
      <w:r>
        <w:t>- 32 - 6. Auf den Widerruf der mit Strafbefehl der Staatsanwaltschaft Winterthur/ Unterland vom 4. Oktober 2021 ausgefällten bedingten Strafe von 40 Tages- sätzen zu Fr. 30.– wird verzichtet. 7. Die mit Strafbefehl der Staatsanwaltschaft Winterthur/Unterland vom 4. Ok- tober 2021 angesetzte Probezeit wird mit Wirkung ab heute um 1 Jahr ver- längert. 8. Für den Beschuldigten wird keine Massnahme im Sinne von Art. 56 ff. StGB angeordnet. 9. Das erstinstanzliche Kosten- und Entschädigungsdispositiv (Ziff. 13 und 14) wird bestätigt.</w:t>
      </w:r>
    </w:p>
    <w:p>
      <w:r>
        <w:rPr>
          <w:b/>
        </w:rPr>
        <w:t>E. 3</w:t>
      </w:r>
    </w:p>
    <w:p>
      <w:r>
        <w:t>Mit Eingabe vom 20. Juni 2023 ersuchte die (neue) amtliche Verteidigung um Aufhebung der Besuchsauflage betreffend die Partnerin des Beschuldigten (Urk. 204), weshalb der Staatsanwaltschaft mit Präsidialverfügung vom 21. Juni 2023 Frist angesetzt wurde, um hierzu Stellung zu nehmen (Urk. 205). Da sich die Staatsanwaltschaft mit der Aufhebung der bisherigen Besuchsauflage einver- standen erklärte, wurde der Partnerin des Beschuldigten, Frau D._____, mit Präsi- dialverfügung vom 29. Juni 2023 eine Dauerbesuchsbewilligung ohne Auflage er- teilt (Urk. 208). Nachdem das hiesige Gericht mit Schreiben der Leiterin Rechts- dienst der Untersuchungsgefängnisse vom 29. Juni 2023 über eine mögliche Missachtung der Besuchsauflagen und einen verbotenen Datenträger im Zusam- menhang mit einem Anwaltsbesuch der amtlichen Verteidigerin beim Beschuldig- ten im Gefängnis Zürich informiert wurde (Urk. 210), reichte die amtliche Ver- teidigerin auf entsprechende Fristansetzung hin ihre Stellungnahme hierzu ein (Urk. 218).</w:t>
      </w:r>
    </w:p>
    <w:p>
      <w:r>
        <w:rPr>
          <w:b/>
        </w:rPr>
        <w:t>E. 3.1</w:t>
      </w:r>
    </w:p>
    <w:p>
      <w:r>
        <w:t>Die Staatsanwaltschaft beauftragte am 21. April 2022 Dr. med. F._____, Facharzt für Psychiatrie und Psychotherapie FMH, mit der Erstellung eines forensisch-psychiatrischen Gutachtens über den Beschuldigten. Dieses wurde am 29. August 2022 erstattet (Urk. 25/41). Es beantwortet sämtliche Fragen gemäss Gutachtensauftrag bzw. dem Ergänzungsauftrag vom 22. November 2022 (Urk. 25/41; Urk. 112), weist keine erkennbaren Mängel auf und ist schlüssig sowie nachvollziehbar. Zusammen mit der Vorinstanz kann festgehalten werden, dass das Gutachten grundsätzlich als Urteilsgrundlage dienen kann (Urk. 160 S. 28 f.).</w:t>
      </w:r>
    </w:p>
    <w:p>
      <w:r>
        <w:rPr>
          <w:b/>
        </w:rPr>
        <w:t>E. 3.2</w:t>
      </w:r>
    </w:p>
    <w:p>
      <w:r>
        <w:t>Es dürfte unbestritten sein, dass für eine fundierte Begutachtung grundsätz- lich erforderlich ist, dass sich der Gutachter einen persönlichen Eindruck vom Exploranden verschafft, in dem er mit diesem ein eingehendes Gespräch führt (vgl. u.a. BGE 127 I 54 E. 2). Das Bundesgericht hielt im Weiteren fest, Aktengutachten müssten die Ausnahme darstellen. Ein Aktengutachten komme in Betracht, wenn der Proband nicht oder nur schwer erreichbar sei oder sich einer Begutachtung verweigere. Ob sich bei einer derartigen Konstellation ein Aktengutachten verant- worten lasse, habe in erster Linie der angefragte Sachverständige zu beurteilen. In einem anderen Entscheid hat das Bundesgericht festgehalten, ein Explorand, wel- cher sich einem persönlichen Gespräch mit dem Gutachter verweigert habe, könne anschliessend nicht geltend machen, das erstellte Gutachten sei mangelhaft, nachdem keine persönliche Exploration stattgefunden habe (BGer 1B_117/2014 vom 9. April 2014 E. 2.2.2.).</w:t>
      </w:r>
    </w:p>
    <w:p>
      <w:r>
        <w:rPr>
          <w:b/>
        </w:rPr>
        <w:t>E. 3.3</w:t>
      </w:r>
    </w:p>
    <w:p>
      <w:r>
        <w:t>Zunächst ist festzuhalten, dass der Beschuldigte nach dem Gesagten aus der Tatsache, dass es sich beim vorliegenden Gutachten um ein Aktengutachten handelt, nichts zu seinen Gunsten ableiten kann. Nachdem er am Vortag des Explorationsgesprächs (5. Mai 2022) noch seine Teilnahme bestätigte, war der Be- schuldigte am 6. Mai 2022 nicht bereit, daran teilzunehmen. Als ein neuer Termin abgemacht wurde (17. Mai 2022), liess er dem Gutachter mitteilen, dass er nicht mit ihm sprechen wolle. Schliesslich fand am 7. Juni 2022 das Explorationsge- spräch statt. Es musste jedoch bereits nach wenigen Minuten durch den Gutachter</w:t>
      </w:r>
    </w:p>
    <w:p>
      <w:r>
        <w:t>- 25 - abgebrochen werden. Damit hat es der Beschuldigte selbst zu verantworten, dass über ihn lediglich ein Aktengutachten erstellt werden konnte (Urk. 25/41). Der Gutachter hat sodann in seinen Ausführungen jeweils in genügender Weise deklariert, auf welche Informationen er sich bei seiner Beurteilung abstützte und wo er aufgrund der fehlenden persönlichen Exploration nicht alle Grundlagen für seine Beurteilung hatte (z.B. Urk. 25/41 S. 15 in Bezug auf den Alkoholkonsum; vgl. auch S. 17: "[…] Diese Vorbemerkung muss angebracht werden, da gutachterlicherseits mit dem Exploranden nicht über die Taten als solche und insbesondere nicht über seine motivationalen Beweggründe sowie seine subjektiv empfundene psychische Befindlichkeit zum Zeitpunkt der Taten gesprochen werden konnte."). Offensichtlich konnte der bekanntermassen erfahrene Gutachter Dr. med. F._____ sämtliche der ihm von der Anklagebehörde vorgelegten Fragen auch ohne die persönliche Explo- ration des Beschuldigten beantworten. Andernfalls hätte er dies zweifellos entspre- chend im Gutachten vermerkt. Das Aktengutachten war daher zulässig und kann Urteilsgrundlage bilden. 4. Würdigung</w:t>
      </w:r>
    </w:p>
    <w:p>
      <w:r>
        <w:rPr>
          <w:b/>
        </w:rPr>
        <w:t>E. 4</w:t>
      </w:r>
    </w:p>
    <w:p>
      <w:r>
        <w:t>Mit Urteil des Bundesgerichts vom 29. Juni 2023 wurden die zwei Beschwer- deverfahren des Beschuldigten vereinigt und abgewiesen, soweit auf sie eingetre- ten wurde (Urk. 214). Dem Beschuldigten wurde sodann mit Präsidialverfügung vom 11. Juli 2023 Frist angesetzt, um sich zur Frage des vorzeitigen Massnah- meantritts zu äussern (Urk. 216). Mit Eingabe vom 12. Juli 2023 reichte die amtliche Verteidigung einen Antrag auf Versetzung in die zweite Haftstufe sowie einen</w:t>
      </w:r>
    </w:p>
    <w:p>
      <w:r>
        <w:t>- 9 - Antrag auf Aufhebung der Briefzensur ein (Urk. 220). Mit Eingabe vom 16. August 2023 nahm die amtliche Verteidigerin Stellung zur Frage des vorzeitigen Mass- nahmenantritts, ergänzte bzw. änderte die Berufungsanträge ab und stellte diverse Beweisanträge (Urk. 238). Sodann stellte sie mit Eingabe vom 16. August 2023 ein Haftentlassungsgesuch (Urk. 239A), woraufhin zur Haftanhörung auf den 23. August 2023 vorgeladen wurde (Urk. 242). Das Haftentlassungsgesuch wurde gleichentags mit Präsidialverfügung abgewiesen (Urk. 250). Mit Eingabe vom</w:t>
      </w:r>
    </w:p>
    <w:p>
      <w:r>
        <w:rPr>
          <w:b/>
        </w:rPr>
        <w:t>E. 4.1</w:t>
      </w:r>
    </w:p>
    <w:p>
      <w:r>
        <w:t>Der fachärztliche Gutachter diagnostizierte beim Beschuldigten eine bipolare affektive Störung (Urk. 25/41 S. 21 f., 24). Entgegen der Verteidigung (Urk. 278/2 S. 6 f.) liegt ein einheitliches Krankheitsbild vor; die bipolare affektive Störung wurde nicht erstmals durch Dr. med. F._____ diagnostiziert, sondern be- reits früher (vgl. dazu Urk. 25/41 S. 14 f.). Auch ist die Qualifikation der bipolaren affektiven Störung als schwere psychische Störung durch die Vorinstanz (Urk. 160 S. 30 ff.) bzw. durch den Gutachter (Urk. 25/41 S. 15) nicht zu beanstanden. Der Beschuldigte selber gab anlässlich der Berufungsverhandlung an, dass er offen- kundig in Bezug auf eine bipolare Störung therapiebedürftig und -willig sei und erklärte, dass er dafür eine sog. Phasenprophylaxe mit Hilfe seines Therapeuten installiert habe (Urk. 332 S. 33; Urk. 330 S. 4).</w:t>
      </w:r>
    </w:p>
    <w:p>
      <w:r>
        <w:rPr>
          <w:b/>
        </w:rPr>
        <w:t>E. 4.2</w:t>
      </w:r>
    </w:p>
    <w:p>
      <w:r>
        <w:t>Entgegen der Verteidigung (Urk. 278/2 S. 8; Urk. 238 S. 11) ging der Gut- achter nicht irrig davon aus, dass das besagte E-Mail vom 11. März 2022 vor dem Hintergrund des familiären Erbschaftsstreits zu würdigen ist. Der Gutachter er-</w:t>
      </w:r>
    </w:p>
    <w:p>
      <w:r>
        <w:t>- 26 - wähnte explizit – neben dem Erbschaftsstreit – die "kurz vor dem Mail vom 11. März 2022 seitens Frau D._____ erfolgte Trennung vom Exploranden" (Urk. 25/41 S. 17).</w:t>
      </w:r>
    </w:p>
    <w:p>
      <w:r>
        <w:rPr>
          <w:b/>
        </w:rPr>
        <w:t>E. 4.3</w:t>
      </w:r>
    </w:p>
    <w:p>
      <w:r>
        <w:t>Zur Massnahmefähigkeit hielt der Gutachter fest, dass es nicht nur eine rein medikamentöse Intervention bedürfe, sondern vielmehr auch einer intensiven ärzt- lich-psychiatrischen und pflegerisch-psychiatrischen Betreuung (Urk. 25/41 S. 23). In einem ambulanten Setting werde sich der Beschuldigte nicht einbringen lassen, weshalb ein stationärer Behandlungsrahmen angezeigt sei. Allerdings sei eine stationäre psychiatrische Therapieintervention in einer forensisch spezialisierten Institution mit den entsprechend hohen Sicherheitskautelen (streng geschlossene Abteilungen, strenge Ausgangskontrollen, hoher Personalbestand) nicht notwen- dig, sondern vielmehr eine stationäre psychiatrische Behandlung in einer allge- meinpsychiatrisch ausgerichteten Institution (Urk. 25/41 S. 21 f., 26). Der Beschuldigte erkannte vor Vorinstanz, dass es ihm nicht gut gehe. Doch wie die Vorinstanz zutreffend festhielt, brachte er anlässlich der vorinstanzlichen Haupt- verhandlung lediglich Ansätze eines Problembewusstseins und einer gewissen Krankheitseinsicht zum Ausdruck (Prot. I S. 40 ff.). Anlässlich der Berufungsver- handlung konnte sich das Gericht vom veränderten Problembewusstsein des Be- schuldigten überzeugen. Er befindet sich in ambulanter therapeutischer Behand- lung, nimmt Medikamente und zeigt sich willig, das Behandlungssetting regelmäs- sig anzupassen. Der Beschuldigte streitet die Diagnose der bipolaren affektiven Störung nicht mehr ab (Urk. 330 S. 2 ff.; Urk. 332 S. 33 und S. 35). Zudem gab er an, dass bei ihm auch ein ADHS vorliege. Alkohol trinke er sei der Haftentlassung keinen mehr (Prot. I S. 36; Urk. 330 S. 4 ff.). Gestützt auf die vorliegenden Beweis- mittel ist – zusammen mit der Vorinstanz – die Massnahmefähigkeit – "wenngleich einige Fragezeichen bestehen" – grundsätzlich zu bejahen (Urk. 160 S. 35).</w:t>
      </w:r>
    </w:p>
    <w:p>
      <w:r>
        <w:rPr>
          <w:b/>
        </w:rPr>
        <w:t>E. 4.4</w:t>
      </w:r>
    </w:p>
    <w:p>
      <w:r>
        <w:t>Eine weitere Voraussetzung der Anordnung einer stationären Massnahme ist die Massnahmenwilligkeit. Wie bereits erwähnt, ist der Beschuldigte Mass- nahmewillig und hat bereits ein Behandlungssetting aufgebaut (Urk. 330 S. 2 ff.; Urk. 332 S. 33 und S. 35). Ebenfalls schliesst der Beschuldigte nicht aus, dass für</w:t>
      </w:r>
    </w:p>
    <w:p>
      <w:r>
        <w:t>- 27 - ihn später einmal auch ein teilstationärer Aufenthalt in Frage kommen kann (Urk. 330 S. 4 f.)</w:t>
      </w:r>
    </w:p>
    <w:p>
      <w:r>
        <w:rPr>
          <w:b/>
        </w:rPr>
        <w:t>E. 4.5</w:t>
      </w:r>
    </w:p>
    <w:p>
      <w:r>
        <w:t>Zu beachten ist vorliegend die Verhältnismässigkeit einer stationären Mass- nahme im Sinne von Art. 59 StGB. Zwischen dem Eingriff und dem angestrebten Zweck muss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(BGer 6B_835/2017 vom 22. März 2018 E. 5.2.2 mit weiteren Hinweisen). Der Eingriff in die Freiheitsrechte des Beschuldigten durch Anordnung einer stationären Mass- nahme ist erheblich. Dies auch deshalb, weil die Dauer der stationären therapeu- tischen Massnahme nach Art. 59 StGB zeitlich relativ unbestimmt ist und sich mit- unter am Behandlungsbedürfnis und am Behandlungserfolg orientiert. Anders als bei Freiheitsstrafen ist dabei nicht der blosse Zeitablauf massgebend. Der Beschuldigte ist grundsätzlich behandlungsbedürftig. Vom Gutachter wird aber keine hohe, sondern "lediglich" eine moderate Rückfallgefahr für Drohungen pro- gnostiziert (Urk. 25/41 S. 25). Vorstrafen hat der Beschuldigte zwar, jedoch keine Strafen gegen Leib und Leben bzw. Gewaltdelikte, sondern im Bereich des Stras- senverkehrsgesetzes (vgl. Urk. 115). Das Verschulden in Bezug auf die vorliegend zu beurteilende Drohung wird im unteren Mittel angesetzt und als nicht mehr leicht eingestuft. Bestraft wird der Beschuldigte für die Drohung mit 120 Tagessätzen Geldstrafe und insgesamt mit 170 Tagessätzen Geldstrafe einer Busse von Fr. 100.–. Auch wenn die Anlasstat nicht zu bagatellisieren ist, wiegt sie doch nicht schwer genug, als dass ein weiteres Wegsperren des Beschuldigten unter dem Titel einer stationären Massnahme noch verhältnismässig wäre. Die Ausführungs- gefahr stufte der Gutachter sodann "nur" als mittelgradig ein (Urk. 25/41 S. 21). Dies ist gerade im Hinblick auf die Verhältnismässigkeit ebenfalls ein wesentliches Element. Schliesslich ist auch festzuhalten, dass sich keine Hinweise in Bezug auf</w:t>
      </w:r>
    </w:p>
    <w:p>
      <w:r>
        <w:t>- 28 - allfällige Gewaltbereitschaft bzw. Gewaltdelikte finden lassen. Der Gutachter hielt diesbezüglich fest, dass sich in den Austrittsberichten zu diversen stationären psychiatrischen Behandlungen keine Hinweise auf eine während der jeweiligen Be- handlungen allenfalls zu beobachtende Gewaltbereitschaft oder Gewaltphantasien finden würden (Urk. 25/41 S. 21). Seit Entlassung aus der Haft hat sich der Be- schuldigte zudem wohlverhalten (Urk. 324 f.).</w:t>
      </w:r>
    </w:p>
    <w:p>
      <w:r>
        <w:rPr>
          <w:b/>
        </w:rPr>
        <w:t>E. 4.6</w:t>
      </w:r>
    </w:p>
    <w:p>
      <w:r>
        <w:t>Insgesamt erweist sich daher eine stationäre Massnahme heute als unver- hältnismässig, auch vor dem Hintergrund, dass die Staatsanwaltschaft ihren ent- sprechenden Antrag zurückgezogen hat. Es ist daher für den Beschuldigten keine stationäre Massnahme im Sinne von Art. 59 StGB anzuordnen. Für die Anordnung einer ambulanten Massnahme liegt kein formeller Antrag vor. IX. Genugtuung 1. Da heute trotz offensichtlicher Massnahmenindikation eine stationäre Mass- nahme nicht – mehr – angeordnet wird, weil deren Verhältnismässigkeit nicht ge- geben wäre, stellt sich die Frage nach einer Genugtuung für den Beschuldigen, wie sie auch von der amtlichen Verteidigung beantragt wurde (Urk. 332). 2. Zu Recht hat die Vorinstanz die durch den Beschuldigten erstandene Haft auf die auszufällende Strafe und auch an die stationäre Massnahme angerechnet (Urk. 160 S. 46 f.). Im Zeitpunkt ihres Urteils durfte die Vorinstanz noch davon aus- gehen, dass die stationäre Behandlung beim Beschuldigten vollzogen und auch Aussicht auf Erfolg haben wird. Damit war die Haft im Hinblick auf den Antritt einer stationären Massnahme gerechtfertigt. Die Haft wurde immer wieder überprüft und war nicht das Ergebnis von Fehlurteilen der Rechtsmittelinstanzen, insb. des Bun- desgerichts, wie dies die Verteidigung ausführte (Urk. 332 S. 26 f.). Die Voraus- setzungen für das Absehen der Anordnung einer – beim Beschuldigten an sich indizierten – stationären Massnahme haben sich indessen erst im Verlauf des Be- rufungsverfahrens und zwar notabene anlässlich der Berufungsverhandlung und damit insbesondere durch die Wahrnehmung des Beschuldigten durch das Gericht anlässlich der heutigen Berufungsverhandlung aufgezeigt. Zu berücksichtigen ist,</w:t>
      </w:r>
    </w:p>
    <w:p>
      <w:r>
        <w:t>- 29 - dass der Beschuldigte selber angab, dass er sich in ambulanter psychiatrischer Behandlung mit medikamentöser Begleitung befinde und auch nicht ausschliesse, dass für ihn später einmal auch ein teilstationärer Aufenthalt in Frage kommen könne (Urk. 330 S. 4 f.). Damit hat der offensichtlich behandlungsbedürftige Be- schuldigte durch Haft keinen genugtuungsrelevanten Freiheitsentzug erlitten. X. Kosten- und Entschädigungsfolgen 1. Kosten erstinstanzliches Verfahren Gestützt auf Art. 428 Abs. 3 StPO hat die Rechtsmittelinstanz über die von der Vorinstanz getroffene Kostenregelung zu befinden, soweit sie selber einen neuen Entscheid fällt. Die Vorinstanz hat dem Beschuldigten ausgangsgemäss die (in- zwischen in Rechtskraft erwachsenen) Kosten zu 9/10 auferlegt (Urk. 160 S. 44). Nachdem im Berufungsverfahren die versuchte Drohung weggefallen ist, es insge- samt aber bei einem Schuldspruch wegen Drohung (gleicher Sachverhalts- komplex) bleibt, ist das erstinstanzliche Kostendispositiv (Dispositiv-Ziffern 13 und 14) zu bestätigen (Art. 426 Abs. 1 StPO). 2. Kosten Berufungsverfahren</w:t>
      </w:r>
    </w:p>
    <w:p>
      <w:r>
        <w:rPr>
          <w:b/>
        </w:rPr>
        <w:t>E. 5</w:t>
      </w:r>
    </w:p>
    <w:p>
      <w:r>
        <w:t>Mit Urteil vom 14. September 2023 trat das Bundesgericht auf die Be- schwerde des (vormaligen) amtlichen Verteidigers, Rechtsanwalt Dr. iur. X2._____ nicht ein (Urk. 284). Mit Verfügung des hiesigen Gerichts vom 10. Oktober 2023 wurde auf entsprechendes Gesuch hin eine weitere Besuchsbewilligung ausgestellt Urk. 287). Der Privatkläger teilte mit Schreiben vom 12. Oktober 2023 mit, dass er auf eine Stellungnahme zu den Beweisanträgen verzichte und zur Durchführung</w:t>
      </w:r>
    </w:p>
    <w:p>
      <w:r>
        <w:t>- 10 - von Vergleichsgesprächen bereit sei (Urk. 290). Das Bundesgericht wies mit Urteil vom 16. Oktober 2023 die Beschwerde gegen den Haftentscheid ab (Urk. 292). Aufgrund von aussergerichtlichen Vergleichsgesprächen wurde das vorliegende Verfahren am 20. Oktober 2023 bis 30. November 2023 informell sistiert (Urk. 296). Am 29. Januar 2024 liess der Beschuldigte ein Haftentlassungsgesuch stellen (Urk. 305). Die Staatsanwaltschaft verzichtete auf eine Stellungnahme (Urk. 308 und 309). Mit Präsidialverfügung vom 14. Februar 2024 wurde das Haftentlas- sungsgesuch gutgeheissen und der Beschuldigte wurde per 19. Februar 2024, 10.00 Uhr, aus der Sicherheitshaft entlassen (Urk. 312). Mit Eingabe vom 15. Fe- bruar 2024 stellte der Beschuldigte einen Antrag auf Herausgabe von beschlag- nahmten Gegenstände bzw. beantragte die Feststellung der Rechtskraft von Dis- positivziffer 10 des vorinstanzlichen Urteils (Urk. 315). Mit Beschluss vom 22. Fe- bruar 2024 wurde die Rechtskraft der Dispositivziffern 1 Lemma 2 bis 4 (Schuld- spruch Beschimpfungen, Vergehen gegen das Waffengesetz und Übertretung des Betäubungsmittelgesetzes), 2 (Freisprüche), 9 (Einziehung diverser Gegenstän- de), 10 (Herausgabe diverser Gegenstände an den Beschuldigten), 11 (Fest- setzung der Entschädigung der amtlichen Verteidigung) und 12 (Kostenfest- setzung) festgestellt (Urk. 318). Mit Präsidialverfügung vom 4. März 2024 wurden die vom Beschuldigten mit Eingabe vom 16. August 2023 gestellten Beweisanträge (Urk. 238) abgewiesen (Urk. 320). Am 26. April 2024 wurde auf den 3. Juli 2024 zur Berufungsverhandlung vorgeladen (Urk. 322).</w:t>
      </w:r>
    </w:p>
    <w:p>
      <w:r>
        <w:rPr>
          <w:b/>
        </w:rPr>
        <w:t>E. 6</w:t>
      </w:r>
    </w:p>
    <w:p>
      <w:r>
        <w:t>Zur mehrfachen Beschimpfung erwog die Vorinstanz, dass es sich bei den vom Beschuldigten geäusserten Beschimpfungen um massive Verunglimpfungen gehandelt habe. In subjektiver Hinsicht sei zu berücksichtigen, dass der Beschul- digte mit Vorsatz gehandelt habe. Er habe sich in einer heftigen Gemütsbewegung befunden, was sein Verhalten jedoch nicht zu entschuldigen vermöge. Wiederum zu berücksichtigen sei, dass die Beschimpfungen vor dem Hintergrund der schwe- ren psychischen Störung erfolgt seien. Unter Berücksichtigung der vorinstanzlichen Erwägungen und der schwergradig verminderten Schuldfähigkeit erscheint es in Anwendung des Asperationsprinzips angemessen, die Einsatzstrafe um weitere 20 Tagessätze zu erhöhen.</w:t>
      </w:r>
    </w:p>
    <w:p>
      <w:r>
        <w:rPr>
          <w:b/>
        </w:rPr>
        <w:t>E. 7</w:t>
      </w:r>
    </w:p>
    <w:p>
      <w:r>
        <w:t>Zur Täterkomponente hat die Vorinstanz die persönlichen Verhältnisse des Beschuldigten angeführt, worauf verwiesen werden kann. Die Vorinstanz beurteilte die nicht einschlägige Vorstrafe und das (sehr spät) erfolgte Geständnis sowie die persönlichen Verhältnisse als strafzumessungsneutral. Dies ist im Schluss zu- treffend und bedarf keiner weiteren Ergänzungen (Urk. 160 S. 22 f.). Die Aus- führungen des Beschuldigten zu seinen persönlichen Verhältnissen anlässlich der Berufungsverhandlung vermögen an diesem Ergebnis nichts zu ändern (Urk. 330 S. 1 ff.).</w:t>
      </w:r>
    </w:p>
    <w:p>
      <w:r>
        <w:t>- 21 -</w:t>
      </w:r>
    </w:p>
    <w:p>
      <w:r>
        <w:rPr>
          <w:b/>
        </w:rPr>
        <w:t>E. 8</w:t>
      </w:r>
    </w:p>
    <w:p>
      <w:r>
        <w:t>Die Vorinstanz setzte angesichts der wirtschaftlichen Verhältnisse des Be- schuldigten (er ist nicht arbeitstätig und bezieht eine IV-Rente; Urk. 330 S. 2 f.) einen Tagessatz zu Fr. 30.– fest (Urk. 160 S. 24), was sich weiterhin als ange- messen erweist (vgl. Art. 34 Abs. 2 StGB).</w:t>
      </w:r>
    </w:p>
    <w:p>
      <w:r>
        <w:rPr>
          <w:b/>
        </w:rPr>
        <w:t>E. 9</w:t>
      </w:r>
    </w:p>
    <w:p>
      <w:r>
        <w:t>In Bezug auf die Strafe für die Übertretung des Betäubungsmittelgesetzes er- wog die Vorinstanz betreffend objektive Tatschwere, dass der Beschuldigte eine geringe Menge an Kokain zwecks Eigenkonsum bei sich zu Hause gelagert habe und Kokain als harte Droge gelte. In subjektiver Hinsicht sei wiederum die schwer- gradig verminderte Schuldfähigkeit zu berücksichtigen. Die Täterkomponenten seien strafzumessungsneutral. Gestützt darauf setzte die Vorinstanz für die Über- tretung des Betäubungsmittelgesetzes eine Busse in Höhe von Fr. 100.– fest, was zu übernehmen ist. Die Busse ist zu bezahlen. Falls die Busse schuldhaft nicht bezahlt wird, ist gemäss Art. 106 Abs. 2 StGB eine Ersatzfreiheitsstrafe auszuspre- chen. Diese entspricht vorliegend 1 Tag.</w:t>
      </w:r>
    </w:p>
    <w:p>
      <w:r>
        <w:rPr>
          <w:b/>
        </w:rPr>
        <w:t>E. 10</w:t>
      </w:r>
    </w:p>
    <w:p>
      <w:r>
        <w:t>Die zweitinstanzliche Gerichtsgebühr wird festgesetzt auf: Fr. 3'600.– ; die weiteren Kosten betragen: Fr. 7'326.25 amtliche Verteidigung (RA X2._____) amtliche Verteidigung (RAin X1._____); inkl. MwSt und Fr. 27'025.– Barauslagen (Fr. 8'000.– bereits ausbezahlt).</w:t>
      </w:r>
    </w:p>
    <w:p>
      <w:r>
        <w:rPr>
          <w:b/>
        </w:rPr>
        <w:t>E. 11</w:t>
      </w:r>
    </w:p>
    <w:p>
      <w:r>
        <w:t>Die Kosten des Berufungsverfahrens, mit Ausnahme der Kosten der amt- lichen Verteidigung, werden dem Beschuldigten zu 2/3 auferlegt und zu 1/3 auf die Gerichtskasse genommen.</w:t>
      </w:r>
    </w:p>
    <w:p>
      <w:r>
        <w:rPr>
          <w:b/>
        </w:rPr>
        <w:t>E. 12</w:t>
      </w:r>
    </w:p>
    <w:p>
      <w:r>
        <w:t>Die Kosten der amtlichen Verteidigung werden zu 2/3 einstweilen und zu 1/3 definitiv auf die Gerichtskasse genommen. Die Rückzahlungspflicht des Beschuldigten bleibt im Umfang von 2/3 gemäss Art. 135 Abs. 4 StPO vor- behalten.</w:t>
      </w:r>
    </w:p>
    <w:p>
      <w:r>
        <w:rPr>
          <w:b/>
        </w:rPr>
        <w:t>E. 13</w:t>
      </w:r>
    </w:p>
    <w:p>
      <w:r>
        <w:t>Mündliche Eröffnung und schriftliche Mitteilung im Dispositiv an die amtliche Verteidigung im Doppel für sich und zuhanden des  Beschuldigten (übergeben) die Staatsanwaltschaft See/Oberland (versandt)  den Privatkläger (versandt) </w:t>
      </w:r>
    </w:p>
    <w:p>
      <w:r>
        <w:t>- 33 - (Eine begründete Urteilsausfertigung gemäss Art. 84 Abs. 4 StPO wird den Privatklägern nur zugestellt, sofern sie dies innert 10 Tagen nach Erhalt des Dispositivs verlangen.) sowie in vollständiger Ausfertigung an die amtliche Verteidigung im Doppel für sich und zuhanden des  Beschuldigten die Staatsanwaltschaft See/Oberland  den Privatkläger  und nach unbenütztem Ablauf der Rechtsmittelfrist bzw. Erledigung allfälliger Rechtsmittel an die Vorinstanz  die Koordinationsstelle VOSTRA/DNA mit Formular A und Formular B  die Koordinationsstelle VOSTRA/DNA mit dem Formular "Löschung  des DNA-Profils und Vernichtung des ED-Materials" zwecks Be- stimmung der Vernichtungs- und Löschungsdaten die Staatsanwaltschaft Winterthur/Unterland, betr. Unt. Nr.  C-6/2021/10030036</w:t>
      </w:r>
    </w:p>
    <w:p>
      <w:r>
        <w:rPr>
          <w:b/>
        </w:rPr>
        <w:t>E. 14</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- 34 - Die Beschwerdelegitimation und die weiteren Beschwerdevoraussetzungen richten sich nach den massgeblichen Bestimmungen des Bundesgerichts- gesetzes. Obergericht des Kantons Zürich I. Strafkammer Zürich, 3. Juli 2024 Der Präsident: Der Gerichtsschreiber: lic. iur. S. Volken MLaw S. Zuber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