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SB230180 vom 16. Februar 2024</w:t>
      </w:r>
    </w:p>
    <w:p>
      <w:r>
        <w:t>ZH Obergericht, 2024-02-16, DE</w:t>
      </w:r>
    </w:p>
    <w:p>
      <w:r>
        <w:rPr>
          <w:b/>
        </w:rPr>
        <w:t xml:space="preserve">Quelle: </w:t>
      </w:r>
      <w:r>
        <w:t>https://mcp.opencaselaw.ch/entscheid/zh_obergericht_SB230180</w:t>
      </w:r>
    </w:p>
    <w:p>
      <w:r>
        <w:t>FR: ZH_OBERGERICHT SB230180 du 16 février 2024</w:t>
      </w:r>
    </w:p>
    <w:p>
      <w:r>
        <w:t>IT: ZH_OBERGERICHT SB230180 del 16 febbraio 2024</w:t>
      </w:r>
    </w:p>
    <w:p>
      <w:pPr>
        <w:pStyle w:val="Heading2"/>
      </w:pPr>
      <w:r>
        <w:t>Erwägungen</w:t>
      </w:r>
    </w:p>
    <w:p>
      <w:r>
        <w:rPr>
          <w:b/>
        </w:rPr>
        <w:t>E. 1</w:t>
      </w:r>
    </w:p>
    <w:p>
      <w:r>
        <w:t>Verfahrensgang</w:t>
      </w:r>
    </w:p>
    <w:p>
      <w:r>
        <w:rPr>
          <w:b/>
        </w:rPr>
        <w:t>E. 1.1</w:t>
      </w:r>
    </w:p>
    <w:p>
      <w:r>
        <w:t>Die Gerichtsgebühr für das erstinstanzliche Verfahren vor Einzelgericht ist auf Fr. 1'800.– festzusetzen (§ 2 Abs. 1 lit. b, c und d GebV OG in Verbindung mit</w:t>
      </w:r>
    </w:p>
    <w:p>
      <w:r>
        <w:t>- 24 - § 14 Abs. 1 lit. a GebV OG). An weiteren Kosten besteht die Gebühr von Fr. 1'500.– für das Vorverfahren und Fr. 11'500.– für die amtliche Verteidigung (Urk. 26).</w:t>
      </w:r>
    </w:p>
    <w:p>
      <w:r>
        <w:rPr>
          <w:b/>
        </w:rPr>
        <w:t>E. 1.2</w:t>
      </w:r>
    </w:p>
    <w:p>
      <w:r>
        <w:t>Aufgrund des Schuldspruchs sind die erstinstanzlichen Kosten und die Kos- ten des Vorverfahrens dem Beschuldigten aufzuerlegen, nachdem der erstin- stanzliche Entscheid im Schuldpunkt bestätigt wird (Art. 426 Abs. 1 Satz 1 und Abs. 2 StPO). 2. Kosten des Berufungsverfahrens 2.1. Die Gerichtsgebühr für das Berufungsverfahren ist auf Fr. 3'600.– zu veran- schlagen (§ 2 Abs. 1 lit. b, c und d GebV OG sowie § 16 Abs. 1 in Verbindung mit § 14 GebV OG). Im Berufungsverfahren werden die Kosten nach Obsiegen und Unterliegen auferlegt (Art. 428 Abs. 1 Satz 1 StPO). Der Beschuldigte unterliegt mit seiner Berufung weitgehend. Die Kosten des Berufungsverfahrens sind daher mit Ausnahme der Kosten der amtlichen Verteidigung zur Hälfte dem Beschuldig- ten aufzuerlegen und im Übrigen auf die Gerichtskasse zu nehmen, wobei die Rü- ckzahlungspflicht der Kosten der amtlichen Verteidigung gemäss Art. 135 Abs. 4 StPO vorbehalten bleibt. 2.2. Für die amtliche Verteidigung im Berufungsverfahren erscheint eine Ent- schädigung des Aufwandes in Höhe von Fr. 5'000.– (inklusive Mehrwertsteuer) als angemessen und ist aus der Gerichtskasse zu entschädigen. Es wird beschlossen:</w:t>
      </w:r>
    </w:p>
    <w:p>
      <w:r>
        <w:rPr>
          <w:b/>
        </w:rPr>
        <w:t>E. 5</w:t>
      </w:r>
    </w:p>
    <w:p>
      <w:r>
        <w:t>Verwertbarkeit</w:t>
      </w:r>
    </w:p>
    <w:p>
      <w:r>
        <w:rPr>
          <w:b/>
        </w:rPr>
        <w:t>E. 5.1</w:t>
      </w:r>
    </w:p>
    <w:p>
      <w:r>
        <w:t>Laut Art. 33 Ziff. 1 der Genfer Flüchtlingskonvention (FK; SR 0.142.30) darf niemand in einen Staat abgeschoben werden, in dem er oder sie ernsthaften</w:t>
      </w:r>
    </w:p>
    <w:p>
      <w:r>
        <w:t>- 21 - Nachteilen, wie insbesondere die Gefährdung des Leibes, des Lebens oder der Freiheit sowie Massnahmen, die einen unerträglichen psychischen Druck bewir- ken, ausgesetzt wäre (vgl. auch Art. 5 Abs. 1 des Asylgesetzes vom 26. Juni 1998 [AsylG; SR 142.31]). Auf diese Bestimmung kann sich ein Flüchtling nur dann nicht berufen, wenn erhebliche Gründe dafür vorliegen, dass er als Gefahr für die Sicherheit der Schweiz angesehen werden muss oder wenn er eine Bedrohung für die Gemeinschaft der Schweiz bedeutet. Diese Voraussetzung ist insbeson- dere dann gegeben, wenn der Flüchtling wegen eines besonders schweren Ver- brechens oder Vergehens rechtskräftig verurteilt worden ist (Art. 33 Ziff. 2 FK; so auch Art. 5 Abs. 2 AsylG). Vor diesem Hintergrund vermag also nur ein besonders schweres Verbrechen das Absehen vom Non-refoulement-Gebot zu bewirken. Der Beschuldigte müsste in einem solchen Fall für die Allgemeinheit der Schweiz (Zufluchtsstaat) eine Gefahr darstellen, wobei nicht allein aufgrund einer Verurtei- lung wegen eines besonders schweren Verbrechens auf eine entsprechende All- gemeingefährlichkeit geschlossen werden darf. Vielmehr muss zusätzlich eine konkrete Wiederholungsgefahr bestehen. Auch kann der anerkannte Flüchtling gemäss bundesgerichtlicher Rechtsprechung betreffend die Aus- und Wegwei- sung nur ausgewiesen werden (oben erwähnt), wenn er die innere oder äussere Sicherheit gefährdet oder die öffentliche Ordnung "in schwerwiegender Weise" verletzt hat (Art. 65 AsylG), womit die Möglichkeit der Ausweisung flüchtlings- bzw. asylrechtlich beschränkt wird (BGE 135 II 110 E. 2.2.1 f.).</w:t>
      </w:r>
    </w:p>
    <w:p>
      <w:r>
        <w:rPr>
          <w:b/>
        </w:rPr>
        <w:t>E. 5.2</w:t>
      </w:r>
    </w:p>
    <w:p>
      <w:r>
        <w:t>Bezüglich der privaten Interessen des Beschuldigten, in der Schweiz zu blei- ben, ist der Umstand zu gewichten, dass der Beschuldigte als anerkannter Flücht- ling in der Schweiz aufgenommen wurde und aktuell sein Asylverfahren hängig ist (Urk. 48). Zur aktuellen Entwicklung in E._____ [Staat in Asien] hält das SEM auf der Homepage informativ fest, dass seit dem 11. August 2021 grundsätzlich auf Wegweisungen nach E._____ [Staat in Asien] verzichtet werde. Einzige Aus- nahme würden Rückführungen darstellen, bei denen ein überwiegendes öffentli- ches Interesse bestehe, wobei als Beispiel schwer straffällige Personen genannt werden. In einem solch schweren Fall würden die Vollzugshandlungen vorsorglich weitergeführt werden, wobei die Rückführung auch bei diesen Personen bis auf Weiteres nicht möglich sei (Staatssekretariat für Migration SEM, Asyl / Schutz vor</w:t>
      </w:r>
    </w:p>
    <w:p>
      <w:r>
        <w:t>- 22 - Verfolgung, E._____ [Staat in Asien]-Krise, &lt;https://www.sem.ad- min.ch/sem/de/home/asyl/E._____ [Staat in Asien].html #373521904&gt; [zuletzt be- sucht am 01.02.2024]). Vor diesem Hintergrund und mit Verweis auf die aktuelle Lage, besteht Grund zur Annahme, dass die Umstände bzw. die Bedrohungslage zu Lasten des Beschuldigten auch dann noch bestehen werden, wenn die ausge- sprochene Freiheitsstrafe von acht Monaten (abzüglich 32 Tage erstandener Un- tersuchungshaft) rechtskräftig ist. Der Beschuldigte kann sich demzufolge auf das Non-refoulement-Gebot berufen (Art. 33 Ziff. 1 sowie Art. 32 FK).</w:t>
      </w:r>
    </w:p>
    <w:p>
      <w:r>
        <w:rPr>
          <w:b/>
        </w:rPr>
        <w:t>E. 5.3</w:t>
      </w:r>
    </w:p>
    <w:p>
      <w:r>
        <w:t>Den privaten Interessen des Beschuldigten am Verbleib in der Schweiz sind die öffentlichen Interessen bezüglich Sicherheit und Ordnung gegenüber zu stel- len. Das noch leichte Tatverschulden (vgl. Ausführungen zur Strafzumessung Ziff. IV. 3.1.1.) betreffend den vorliegenden Raub ist als minder schwere Kriminali- tät zu bezeichnen. Der aktuelle Strafregisterauszug (Urk. 44) weist zwar einige Vorstrafen auf, wobei es sich jedoch um keine besonders schweren Verbrechen handelt, welche ein Absehen vom Non-refoulement-Gebot rechtfertigen würden, zumal der Beschuldigte nebst dem vorliegenden Verfahren lediglich mit den aus- ländergesetzlichen Bestimmungen in Konflikt geraten ist. Von einer massiv belas- teten strafrechtlichen Biographie ist demnach nicht auszugehen. Insofern fehlt es an einer schwerwiegenden Gefährdung der öffentlichen Ordnung bzw. inneren oder äusseren Sicherheit (vgl. auch ARNAIZ, forumpoenale, S. 260 Ziff. 2.2.1; Ur- teil des Obergerichts ZH SB200030 vom 10. November 2020 E. VII. 6 S. 47).</w:t>
      </w:r>
    </w:p>
    <w:p>
      <w:r>
        <w:rPr>
          <w:b/>
        </w:rPr>
        <w:t>E. 5.4</w:t>
      </w:r>
    </w:p>
    <w:p>
      <w:r>
        <w:t>Der Beschuldigte stellt damit insgesamt keine schwerwiegende Gefahr für die öffentliche Sicherheit und Ordnung in der Schweiz dar. Das öffentliche Inter- esse an der Ausweisung des Beschuldigten vermag sich demzufolge nicht gegen die persönlichen Interessen des Beschuldigten am Verbleib in der Schweiz durch- zusetzen. Die Landesverweisung ist im vorliegenden Fall demzufolge rechtlich un- zulässig, da sich hier eine Ausnahme vom Non-refoulement-Gebot nicht rechtfer- tigt und die Anordnung gegen zwingendes Völkerrecht verstossen würde. Es ist daher von der Anordnung einer Landesverweisung abzusehen. Dass beim Be- schuldigten bislang nicht von einer tragfähigen wirtschaftlichen und sozialen Inte-</w:t>
      </w:r>
    </w:p>
    <w:p>
      <w:r>
        <w:t>- 23 - gration in der Schweiz ausgegangen werden kann, ändert an dieser Tatsache nichts. 6. Fazit Vor diesem Hintergrund ist von einem schweren persönlichen Härtefall auszuge- hen. Auf die Anordnung einer Landesverweisung im Sinne von Art. 66a StGB ist demzufolge zu verzichten, zumal die öffentlichen Interessen an der Landesver- weisung gegenüber den privaten Interessen des Beschuldigten am Verbleib in der Schweiz nicht überwiegen. Basierend darauf ist selbstredend auch von der SIS- Ausschreibung abzusehen. VIII. Einziehung 1. Die Vorinstanz hat in ihren Erwägungen die rechtlichen Grundlagen zur Ein- ziehung umfassend und korrekt wiedergegeben, so dass darauf verwiesen wer- den kann (Urk. 35 E. 8.). 2. Im Rahmen der polizeilichen Verhaftung vom 17. Mai 2022 wurden ein T-Shirt (Asservat Nr. A016'171'338) und eine Herrenhose (Asservat Nr. A016'171'349) des Beschuldigten sichergestellt (Urk. 5/1). Zu Recht hat die Vorinstanz (Urk. 35 E. 8.2.) bei den genannten Gegenständen keinen direkt rele- vanten Deliktsbezug festgestellt, weshalb sie dem Beschuldigten nach Eintritt der Rechtskraft dieses Urteils auf erstes Verlangen hin durch die Lagerbehörde (Stadtpolizei Zürich, LBZH007220, ZZALLU2Q32-R0024FE02; Geschäfts- Nr. 82742721) herauszugeben sind. Bei Nichtabholung innert 30 Tagen nach Ein- tritt der Rechtskraft dieses Urteils sind diese durch die Lagerbehörde zu vernich- ten. IX. Kosten- und Entschädigungsfolgen 1. Erstinstanzliche Kostenauferlegung</w:t>
      </w:r>
    </w:p>
    <w:p>
      <w:r>
        <w:rPr>
          <w:b/>
        </w:rPr>
        <w:t>E. 9</w:t>
      </w:r>
    </w:p>
    <w:p>
      <w:r>
        <w:t>Monaten unter Ansetzung einer Probezeit von 4 Jahren (Urk. 35 S. 36).</w:t>
      </w:r>
    </w:p>
    <w:p>
      <w:r>
        <w:rPr>
          <w:b/>
        </w:rPr>
        <w:t>E. 14</w:t>
      </w:r>
    </w:p>
    <w:p>
      <w:r>
        <w:t>März 202 E. 3.3.4 m.w.H.). Ausgenommen davon ist aber ein Flüchtling, der sich gemäss Art. 5 Abs. 2 AsylG nicht auf das Rückschiebungsverbot berufen kann, da er eine Gefahr für die öffentliche Sicherheit oder Ordnung der Schweiz darstellt (Urteil des OGer ZH SB210127 vom 7. Juni 2022 E. IV.3.1). Die Härtefallklausel kommt nur ausnahmsweise zum Zuge und ist restriktiv anzu- wenden (BGE 144 IV 332 E. 3.3.1; Urteile des Bundesgerichts 6B_75/2020 vom</w:t>
      </w:r>
    </w:p>
    <w:p>
      <w:r>
        <w:rPr>
          <w:b/>
        </w:rPr>
        <w:t>E. 19</w:t>
      </w:r>
    </w:p>
    <w:p>
      <w:r>
        <w:t>Januar 2021 E. 2.2; 6B_1474/2019 vom 23. März 2020 E. 1.2). Dabei ist an- hand der gängigen Integrationskriterien eine Einzelfallprüfung vorzunehmen (Ur- teil des Bundesgerichts 6B_1024/2019 vom 29. Januar 2020 E. 1.3.2 m.w.H.). Nach der bundesgerichtlichen Rechtsprechung lässt sich zur Prüfung des Härte- falls im Sinne von Art. 66a Abs. 2 StGB der Kriterienkatalog der Bestimmung über den "schwerwiegenden persönlichen Härtefall" in Art. 31 Abs. 1 der Verordnung vom 24. Oktober 2007 über Zulassung, Aufenthalt und Erwerbstätigkeit (VZAE) heranziehen. Zu berücksichtigen sind namentlich der Grad der persönlichen und wirtschaftlichen Integration, einschliesslich familiärer Bindungen des Ausländers in der Schweiz bzw. in der Heimat, Aufenthaltsdauer und Resozialisierungschan- cen. Da die Landesverweisung strafrechtlicher Natur ist, ist ebenso der Rückfall-</w:t>
      </w:r>
    </w:p>
    <w:p>
      <w:r>
        <w:t>- 19 - gefahr und einer allfälligen wiederholten Delinquenz Rechnung zu tragen (Urteil des Bundesgerichts 6B_166/2021 vom 8. September 2021 E. 3.3.2 m.w.H.). Inso- fern dient die Härtefallklausel im Sinne von Art. 66a StGB der Umsetzung des Verhältnismässigkeitsprinzips (BGE 145 IV 364 E. 3.2; 144 IV 332 E. 3.1.2 m.w.H.). 3. Katalogtat Der Beschuldigte hat sich in Form des Raubes im Sinne von Art. 140 Ziff. 1 Abs. 1 StGB einer Katalogtat nach Art. 66a Abs. 1 lit. c StGB schuldig gemacht. Als Staatsangehöriger von E._____ [Staat in Asien] ist er ein Ausländer, womit die Voraussetzungen für eine obligatorische Landesverweisung grundsätzlich erfüllt sind. Der Beschuldigte ist somit des Landes zu verweisen, sofern kein schwerer persönlicher Härtefall vorliegt und die Interessenabwägung nicht zu Gunsten des Beschuldigten ausfällt. 4. Härtefallprüfung Der Beschuldigte wurde in E._____ [Staat in Asien] geboren und wuchs dort auf. Nachdem er E._____ [Staat in Asien] im Jahr 2016 verliess, wurden seine Finger- abdrücke in F._____ [Staat in Europa] registriert. Ende 2018 kam er erstmals in die Schweiz, wurde danach jedoch drei Mal nach F._____ [Staat in Europa] zu- rück geschickt, da F._____ [Staat in Europa] aufgrund der registrierten Fingerab- drücke für das Asylverfahren zuständig war. Seit 2020 lebt er als vorläufig aufge- nommene Person in der Schweiz und besitzt den F-Ausweis (Urk. 3/9 F/A 19, 21; Prot. I S. 11; Prot. II S. 18 f.). Der Beschuldigte ist weder in der Schweiz zur Welt gekommen noch ist er hier aufgewachsen und hält sich erst wenige Jahre in der Schweiz auf. Nebst seiner Mutter, sind seine Schwester, sein Bruder und seine zwei Onkel nach wie vor in E._____ [Staat in Asien] wohnhaft (Urk. 3/9 S. 5). Es ist daher keine familiäre Bindung in der Schweiz auszumachen. Bislang geht der Beschuldigte keiner Arbeitstätigkeit nach. Gemäss seiner Anga- ben besuchte er eine Deutschschule (Prot. I S. 11 f.; Prot. II S. 19, 21). Der Be- schuldigte ist jedoch nach wie vor der deutschen Sprache nicht mächtig (Urk. 25</w:t>
      </w:r>
    </w:p>
    <w:p>
      <w:r>
        <w:t>- 20 - S. 8). Überdies erklärte der Beschuldigte, dass er vom Sozialamt monatlich Fr. 500.– erhalte und von diesem mit einem Kostenbeitrag an sein ÖV-Abonne- ment unterstützt werde (Prot. I S. 12; Prot. II S. 20). Von einer besonderen berufli- chen und wirtschaftlichen Integration in der Schweiz ist daher nicht auszugehen. Es sind keine Anhaltspunkte für härtefallbegründende Tatsachen, namentlich eine besonders intensive, über eine normale Integration hinausgehende private Bezie- hung beruflicher oder gesellschaftlicher Natur auszumachen. Das noch während dem vorinstanzlichen Verfahren pendente Dublin-Verfahren wurde in der Zwischenzeit beendet, weshalb nun ein ordentliches Asylverfahren in der Schweiz durchgeführt wird (Urk. 48). Entsprechend besitzt der Beschuldigte nun als vorläufig aufgenommene Person den F-Ausweis. Der Beschuldigte ist le- dig und hat keine Kinder. Gemäss eigener Angaben hat er seit vier oder fünf Mo- naten eine Freundin aus der G._____ [Staat in Europa], welche ebenfalls in der Schweiz lebt. Seine Freunde sind grösstenteils aus E._____ [Staat in Asien] (Prot. II S. 20 f.). Es liegen damit keine Anhaltspunkte für eine besonders intensive, über die normale Integration hinausgehende private Beziehung gesellschaftlicher Natur vor, wie dies als Härtefall begründende Tatsache erforderlich wäre (BGE 144 II 1). Der Beschuldigte hat in der Schweiz keinerlei familiäre Bindungen, denn seine engsten Bezugspersonen (Mutter, Schwester, Bruder, Onkel etc.), mit denen er in Kontakt steht, leben nach wie vor in E._____ [Staat in Asien]. Im Weiteren ist dar- auf hinzuweisen, dass der Beschuldigte nebst der vorliegend zu beurteilenden Tat vom 17. Mai 2022 zudem mehrfach wegen rechtswidrigem Aufenthalt und rechts- widriger Einreise im Sinne des Bundesgesetzes über die Ausländerinnen und Ausländer und über die Integration (SR 142.20; AIG) verurteilt wurde. Diese Ver- fahren standen jedoch im Zusammenhang mit dem Dublin-Verfahren in F._____ [Staat in Europa], welches unterdessen, wie vorstehend erwähnt, nun beendet ist. Abgesehen von der Flüchtlingseigenschaft des Beschuldigten liegt vorliegend kein schwerer persönlicher Härtefall vor. 5. Interessensabwägung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