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SB230158 vom 6. Februar 2024</w:t>
      </w:r>
    </w:p>
    <w:p>
      <w:r>
        <w:t>ZH Obergericht, 2024-02-06, DE</w:t>
      </w:r>
    </w:p>
    <w:p>
      <w:r>
        <w:rPr>
          <w:b/>
        </w:rPr>
        <w:t xml:space="preserve">Quelle: </w:t>
      </w:r>
      <w:r>
        <w:t>https://mcp.opencaselaw.ch/entscheid/zh_obergericht_SB230158</w:t>
      </w:r>
    </w:p>
    <w:p>
      <w:r>
        <w:t>FR: ZH_OBERGERICHT SB230158 du 6 février 2024</w:t>
      </w:r>
    </w:p>
    <w:p>
      <w:r>
        <w:t>IT: ZH_OBERGERICHT SB230158 del 6 febbraio 2024</w:t>
      </w:r>
    </w:p>
    <w:p>
      <w:pPr>
        <w:pStyle w:val="Heading2"/>
      </w:pPr>
      <w:r>
        <w:t>Erwägungen</w:t>
      </w:r>
    </w:p>
    <w:p>
      <w:r>
        <w:rPr>
          <w:b/>
        </w:rPr>
        <w:t>E. 1</w:t>
      </w:r>
    </w:p>
    <w:p>
      <w:r>
        <w:t>Mit Urteil und Beschluss des Bezirksgerichtes Zürich, 10. Abteilung, vom 28. November 2022 wurde das Sistierungsgesuch des Beschuldigten abgewiesen und dieser gleichzeitig – in unentschuldigter Abwesenheit (vgl. Prot. I S. 16) – des Fahrens in fahrunfähigem Zustand, des Führens eines Motorfahrzeuges trotz Ent- zug des erforderlichen Ausweises, der mehrfachen teils versuchten Drohung, der groben Verletzung der Verkehrsregeln, des mehrfachen Hausfriedensbruches, der rechtswidrigen Einreise und des mehrfachen rechtswidrigen Aufenthaltes, der mehrfachen Beschimpfung, des mehrfachen geringfügigen Diebstahls sowie der Übertretung des Betäubungsmittelgesetzes schuldig gesprochen. Das Verfahren betreffend mehrfache einfache Verkehrsregelverletzung gemäss Dossier 1, Tät- lichkeiten und Beschimpfung gemäss Dossier 4 sowie Hausfriedensbruch gemäss Dossier 5 wurde eingestellt, während betreffend die Beschimpfung gemäss Dos- sier 3 von einer Bestrafung Umgang genommen wurde. Der Beschuldigte wurde unter Einbezug eines widerrufenen Strafrestes von 160 Tagen mit einer unbeding- ten Freiheitsstrafe von 19 Monaten sowie mit einer unbedingten Geldstrafe von 24 Tagessätzen zu Fr. 30.– und einer zu bezahlenden Busse von Fr. 720.– be- straft. Ferner wurde das im Verfahren beschlagnahmte Taschenmesser eingezo- gen und es wurden die Kosten- und Entschädigungsfolgen geregelt (Urk. 54 bzw. Urk. 62 S. 92 ff.).</w:t>
      </w:r>
    </w:p>
    <w:p>
      <w:r>
        <w:rPr>
          <w:b/>
        </w:rPr>
        <w:t>E. 1.1</w:t>
      </w:r>
    </w:p>
    <w:p>
      <w:r>
        <w:t>Die allgemeinen Grundsätze der Strafzumessung sowie der Festlegung des Strafrahmens sind im angefochtenen Entscheid vollständig und korrekt wie- dergegeben (Urk. 62 S. 71 ff.), weshalb sich dazu in zweiter Instanz keine weite- ren Ausführungen aufdrängen. Als zutreffend erweisen sich auch die Erwägungen zur Strafart im Hinblick auf die einzelnen Delikte, wobei in casu aufgrund der ge- setzlichen Rahmenbedingungen sowie der dazu ergangenen Praxis mit der Vorin- stanz sowohl eine Freiheitsstrafe wie auch eine Geldstrafe und eine Busse auszu- fällen ist (vgl. Urk. 62 S. 72 f.), während dem Antrag der Verteidigung betreffend das Absehen von einer Freiheitsstrafe nicht gefolgt werden kann (vgl. Urk. 85 S. 10 ff.).</w:t>
      </w:r>
    </w:p>
    <w:p>
      <w:r>
        <w:rPr>
          <w:b/>
        </w:rPr>
        <w:t>E. 1.2</w:t>
      </w:r>
    </w:p>
    <w:p>
      <w:r>
        <w:t>Was die konkrete Strafzumessung betrifft, so ist innerhalb der jeweiligen Strafart für die schwerste Straftat eine Einsatzstrafe festzulegen, welche in der Folge anhand der weiteren festzulegenden Einzelstrafen in Anwendung von Art. 49 Abs. 1 StGB angemessen zu schärfen ist, sofern sich diese als gleichartig erweisen (BGE 144 IV 313, E. 1.1.; 144 IV 217, E. 2.2. und E. 3.; Urteile 6B_1354/2021 vom 22. März 2023, E. 2.2. sowie 6B_244/2021 und 6B_254/2021 vom 17. April 2023, E. 5.3.2.).</w:t>
      </w:r>
    </w:p>
    <w:p>
      <w:r>
        <w:rPr>
          <w:b/>
        </w:rPr>
        <w:t>E. 1.3</w:t>
      </w:r>
    </w:p>
    <w:p>
      <w:r>
        <w:t>Zu ergänzen bleibt in theoretischer Hinsicht, dass angesichts der neuerli- chen Verurteilung des Beschuldigten vom 23. November 2022 zu einer unbeding- ten Geldstrafe von 60 Tagessätzen zu Fr. 70.– sowie einer Busse von Fr. 200.– wegen Drohung etc. (vgl. Urk. 76 S. 5; vgl. auch Urk. 83 [Beizugsakten]) die gleichartigen heutigen Sanktionen jeweils als Zusatzstrafe im Sinne von Art. 49 Abs. 2 StGB nach Massgabe der geltenden bundesgerichtlichen Rechtsprechung</w:t>
      </w:r>
    </w:p>
    <w:p>
      <w:r>
        <w:t>- 16 - festzulegen sind. Danach sind die neu zu beurteilenden Taten mit den bereits be- urteilten als Ganzes zu betrachten und es ist dafür eine hypothetische Gesamts- trafe auszufällen, wovon dann die Dauer der mit dem rechtskräftigen früheren Entscheid festgelegten Strafe abzuziehen ist (vgl. BGE 132 IV 105). 2. Rückversetzung</w:t>
      </w:r>
    </w:p>
    <w:p>
      <w:r>
        <w:rPr>
          <w:b/>
        </w:rPr>
        <w:t>E. 2</w:t>
      </w:r>
    </w:p>
    <w:p>
      <w:r>
        <w:t>Standpunkt des Beschuldigten</w:t>
      </w:r>
    </w:p>
    <w:p>
      <w:r>
        <w:rPr>
          <w:b/>
        </w:rPr>
        <w:t>E. 2.1</w:t>
      </w:r>
    </w:p>
    <w:p>
      <w:r>
        <w:t>Die Entscheidgebühr für das Berufungsverfahren ist auf Fr. 3'600.– zu ver- anschlagen (Art. 424 Abs. 1 StPO in Verbindung mit § 16 Abs. 1 und § 14 Abs. 1 lit. b GebV OG).</w:t>
      </w:r>
    </w:p>
    <w:p>
      <w:r>
        <w:rPr>
          <w:b/>
        </w:rPr>
        <w:t>E. 2.2</w:t>
      </w:r>
    </w:p>
    <w:p>
      <w:r>
        <w:t>Der Beschuldigte vermag sich in zweiter Instanz mit seinem Antrag auf Frei- spruch nicht durchzusetzen, soweit er seine Berufung insofern nicht bereits ohne- hin zurückgezogen hat, und das erstinstanzliche Urteil ist auch im Übrigen mehr- heitlich zu bestätigen, weshalb der Beschuldigte als vollumfänglich unterliegend zu gelten hat. Der Umstand, dass von der vorinstanzlich angeordneten Rückver- setzung abzusehen und demgemäss die auszufällende Strafe anzupassen ist, vermag daran nichts zu ändern, da sich die Voraussetzungen für dieses teilweise Obsiegen erst im Verlauf des Rechtsmittelverfahrens aufgrund eines Fristablaufes ergeben haben. Somit sind die Kosten des Berufungsverfahrens – mit Ausnahme jener der amtlichen Verteidigung – ebenfalls vorbehaltlos dem Beschuldigten aufzuerlegen.</w:t>
      </w:r>
    </w:p>
    <w:p>
      <w:r>
        <w:rPr>
          <w:b/>
        </w:rPr>
        <w:t>E. 2.3</w:t>
      </w:r>
    </w:p>
    <w:p>
      <w:r>
        <w:t>Die amtliche Verteidigung des Beschuldigten macht mit Honorarnote vom 6. Februar 2024 den Betrag von Fr. 3'056.85 (inkl. MwSt. und Auslagen) geltend, wobei der Aufwand für die Berufungsverhandlung samt Weg und Nachbespre- chung auf insgesamt 5 Stunden geschätzt wurde (Urk. 86). Der vor der Beru- fungsverhandlung erbrachte Aufwand ist ohne Weiteres ausgewiesen und das geltend gemachte Honorar steht im Einklang mit den Ansätzen der kantonalen Anwaltsgebührenverordnung. Unter Berücksichtigung der tatsächlichen Aufwen- dungen für die heutige Berufungsverhandlung von rund 3 ½ Stunden (zzgl. Weg zum Verhandlungsort und Nachbesprechung mit dem Klienten) erscheint es mit- hin angemessen, den amtlichen Verteidiger pauschal mit insgesamt Fr. 3'200.– (inkl. MwSt.) aus der Gerichtskasse zu entschädigen.</w:t>
      </w:r>
    </w:p>
    <w:p>
      <w:r>
        <w:rPr>
          <w:b/>
        </w:rPr>
        <w:t>E. 2.4</w:t>
      </w:r>
    </w:p>
    <w:p>
      <w:r>
        <w:t>Die zweitinstanzlichen Kosten der amtlichen Verteidigung sind auf die Ge- richtskasse zu nehmen, wobei die Rückzahlungspflicht des Beschuldigten ge- mäss Art. 135 Abs. 4 StPO vorbehalten bleibt.</w:t>
      </w:r>
    </w:p>
    <w:p>
      <w:r>
        <w:t>- 27 - Es wird beschlossen: 1. Es wird festgestellt, dass der Beschluss des Bezirksgerichtes Zürich, 10. Ab- teilung, vom 28. November 2022 (Abweisung der Sistierung) sowie das Ur- teil des Bezirksgerichtes Zürich, 10. Abteilung, vom 28. November 2022 bezüglich der Dispositivziffer 1 teilweise (Schuldsprüche betreffend Lemma 1 [Fahren in fahrunfähigen Zustand]), Lemma 2 [Führen eines Motorfahrzeuges ohne Ausweis], Lemma 3 teilweise [Drohung gemäss Dossier 2], Lemma 5 [mehrfacher Hausfriedensbruch], Lemma 6 und 7 [rechtswidrige Einreise und mehrfacher rechtswidriger Aufenthalt], Lemma 8 [mehrfache Beschimpfung] sowie Lemma 9 [mehrfacher geringfügiger Diebstahl] und 10 [Übertretung des Betäubungsmittelgesetzes]) sowie bezüglich der Dispositivziffern 2 - 5 (Verfahrenseinstellungen und Absehen von Strafe betreffend Beschimpfung gemäss Dossier 3) und der Dispositiv- ziffern 11 und 12 (Entschädigung Verteidigung und Kostenfestsetzung) in Rechtskraft erwachsen sind. 2. Mündliche Eröffnung und schriftliche Mitteilung mit nachfolgendem Urteil. Es wird erkannt: 1. Der Beschuldigte A._____ ist ferner schuldig der groben Verkehrsregelverletzung im Sinne von Art. 90 Abs. 2 SVG  in Verbindung mit Art. 31 Abs. 1 SVG (Dossier 2) sowie der Drohung im Sinne von Art. 180 Abs. 1 StGB (Dossier 3).  2. Von der Rückversetzung des Beschuldigten in den Vollzug der mit Urteil des Obergerichtes des Kantons Aargau vom 7. August 2017 (Geschäfts-Nr. SST.2017.29) ausgefällten Freiheitsstrafe wird abgesehen. 3. Der Beschuldigte wird bestraft mit einer Freiheitsstrafe von 12 Monaten (wo- von 38 Tage durch Untersuchungshaft erstanden sind) sowie als Zusatz- strafe zum Strafbefehl der Staatsanwaltschaft Baden vom 23. November</w:t>
      </w:r>
    </w:p>
    <w:p>
      <w:r>
        <w:t>- 28 - 2022 mit einer Geldstrafe von 12 Tagessätzen zu Fr. 30.– und einer Busse von Fr. 600.–. 4. Der Vollzug der Freiheitsstrafe und der Geldstrafe wird nicht aufgeschoben. 5. Die Busse ist zu bezahlen. Bezahlt der Beschuldigte die Busse schuldhaft nicht, so tritt an deren Stelle eine Ersatzfreiheitsstrafe von 6 Tagen. 6. Das mit Verfügung der Staatsanwaltschaft Zürich-Sihl vom 25. Juni 2021 be- schlagnahmte rote Taschenmesser der Marke "Victorinox" (Asservaten-Nr. A014'207'706) wird eingezogen und der Lagerbehörde zur Vernichtung überlassen.</w:t>
      </w:r>
    </w:p>
    <w:p>
      <w:r>
        <w:rPr>
          <w:b/>
        </w:rPr>
        <w:t>E. 3</w:t>
      </w:r>
    </w:p>
    <w:p>
      <w:r>
        <w:t>Sachverhalt</w:t>
      </w:r>
    </w:p>
    <w:p>
      <w:r>
        <w:rPr>
          <w:b/>
        </w:rPr>
        <w:t>E. 3.1</w:t>
      </w:r>
    </w:p>
    <w:p>
      <w:r>
        <w:t>Vorbemerkungen a) Vorab ist für den vorliegenden Fall festzuhalten, dass die in den Dossiers 1 - 3 verübten Hauptdelikte (Fahren in fahrunfähigem Zustand, grobe Verkehrsre- gelverletzung und Drohung) den gleichen Strafrahmen aufweisen und allesamt etwa gleich schwer wiegen, weshalb es nicht zu beanstanden ist, wenn die Vorin- stanz die Einsatzstrafe für das zeitlich erste Delikt des Fahrens in fahrunfähigem Zustand gemäss Dossier 1 festgelegt und diese Einsatzstrafe in der Folge mit den gleichartigen Strafen für die Drohungen gemäss den Dossiers 2 und 3, die grobe Verkehrsregelverletzung gemäss Dossier 2, das Fahren trotz Entzug gemäss Dossier 1 sowie die Migrationsdelikte gemäss den Dossiers 5, 6 und 9 und die Hausfriedensbrüche gemäss den Dossiers 7 und 8 asperiert hat. b) Dabei kann bereits an dieser Stelle festgehalten werden, dass das Vorder- gericht im Rahmen der konkreten Strafzumessung im Grundsatz eine systema- tisch korrekte und ausgewogene Bewertung der einzelnen Delikte vorgenommen hat, so dass sich im Folgenden zusätzliche Erwägungen nur dort aufdrängen, wo punktuelle Korrekturen oder Ergänzungen anzubringen sind.</w:t>
      </w:r>
    </w:p>
    <w:p>
      <w:r>
        <w:rPr>
          <w:b/>
        </w:rPr>
        <w:t>E. 3.2</w:t>
      </w:r>
    </w:p>
    <w:p>
      <w:r>
        <w:t>Tatkomponente a) Bei der Fahrt des Beschuldigten in fahrunfähigem Zustand gemäss Dos- sier 1 sticht die relativ hohe Atemalkoholkonzentration von 1.1 mg/l ins Auge, wel- che dem Beschuldigten ein sicheres Fahren im Tatzeitpunkt grundsätzlich verun- möglichte, selbst wenn er durchaus trinkgewohnt war und eine gewisse Toleranz entwickelt hat. Ansonsten sind indessen keine Aspekte ersichtlich, welche das Tatverschulden weiter zu erschweren vermöchten. Offenbar hat sich der Beschul- digte erst kurz vor der polizeilichen Kontrolle ans Steuer des Wagens seines Freundes gesetzt und ist dann damit eine entsprechend kurze Fahrstrecke gefah- ren, in deren Rahmen er keine besonderen Risiken provozierte. Wenn die Vorin- stanz vor diesem Hintergrund in objektiver Hinsicht von einem gerade noch leich- ten Verschulden ausgeht, so ist dies nicht zu beanstanden. Der festgestellte</w:t>
      </w:r>
    </w:p>
    <w:p>
      <w:r>
        <w:t>- 19 - Eventualvorsatz vermag das objektive Verschulden nur geringfügig zu relativie- ren, so dass im Endeffekt von einer Einsatzstrafe von 90 Tagen auszugehen ist. b) Die im Weiteren zu beurteilenden beiden Drohungen gemäss den Dossi- ers 2 und 3 wiegen inhaltlich recht schwer, stellte der Beschuldigte den Betroffe- nen doch in beiden Fällen ein grosses Übel in Aussicht, welches er durch entspre- chende Gesten eindrücklich unterstrich. Objektiv gesehen kann das Tatverschul- den mithin nicht mehr im untersten Bereich angesiedelt werden, zumal in Dos- sier 2 gleich zwei Personen in dieser Weise bedroht wurden. Allerdings ergeben sich bei der weiteren Bewertung der Tatkomponente in beiden Fällen mindernde Aspekte, welche das objektive Verschulden relativieren. So hatte das Gebaren des Beschuldigten betreffend Dossier 2 – mit der Verteidigung (Urk. 85 S. 10 f.) – letztlich keinen Erfolg und der Beschuldigte wurde betreffend Dossier 3 erheblich provoziert. Im Ergebnis rechtfertigt sich angesichts der gesamten Tatschwere auch hier ein Strafmass von jeweils 90 Tagen. In Berücksichtigung der Grund- sätze von Art. 49 Abs. 1 StGB ist die Einsatzstrafe mithin infolge dieser Taten um jeweils 60 Tage zu asperieren. c) Die weiteren Strassenverkehrsdelikte der groben Verkehrsregelverletzung (Dossier 2) und des Fahrens ohne Ausweis (Dossier 1) wurden von der Vorin- stanz vollständig korrekt bemessen. Deutlicher gewichtet wurde dabei zu Recht die grobe Verkehrsregelverletzung, welche ein nicht zu unterschätzendes Gefah- renpotential barg, auch wenn den Beteiligten zu glauben ist, dass sie die Fahrspur letztlich nicht verlassen haben und sich die konkrete Gefahr damit in gewissen Grenzen hielt. Beim Fahren ohne Ausweis gilt es derweil zu berücksichtigen, dass eine Missachtung bei einem Fahrverbot auf unbestimmte Zeit schärfer wiegt als bei lediglich temporären Ausweisentzügen, da auch dem Missachtenden klar sein muss, dass er diesfalls für den Fahrverkehr als weitgehend ungeeignet angese- hen wird und in seinem Gebrauch eines Fahrzeuges eine entsprechend hohe Ge- fahr anderer Verkehrsteilnehmer gesehen wird. Die vorinstanzlich isoliert festge- setzten Strafen von 90 bzw. 70 Tagen sind dementsprechend für den vorliegen- den Entscheid zu übernehmen. Es rechtfertigt sich mithin in Anwendung von Art. 49 Abs. 1 StGB für das erstgenannte Delikt eine weitere Asperation von</w:t>
      </w:r>
    </w:p>
    <w:p>
      <w:r>
        <w:t>- 20 - 60 Tagen, während die Strafschärfung beim zweiten Delikt angesichts des engen Zusammenhanges mit dem eingangs beurteilten Fahren in fahrunfähigem Zu- stand um lediglich 40 Tage auszufallen hat. d) Gleichermassen ist die vorinstanzliche Strafzumessung im Zusammenhang mit den Migrationsdelikten nicht zu beanstanden. Die im Rahmen von Dossier 5 eingeklagte rechtswidrige Einreise in die Schweiz ohne Umgehung irgendwelcher Kontrollmassnahmen wiegt insgesamt noch sehr leicht und rechtfertigt isoliert be- trachtet eine isolierte Strafe von 9 Tagen. Auch der daran anknüpfende rechtswid- rige Aufenthalt und Verbleib gemäss den Dossiers 5, 6 und 9 (unterbrochen von jeweiligen Verhaftungen) zeugt jeweils von einem Verschulden im untersten Be- reich, wobei der letzte Aufenthalt immerhin rund drei Monate dauerte, ohne dass sich der Beschuldigte zur gebotenen Ausreise durchringen konnte, was im Ver- gleich zu den vorangehenden Taten etwas schwerer zu gewichten ist. Wenn die Vorinstanz bezüglich dieser vier Delikte von isolierten Strafen im Bereich von je- weils 9 bzw. 12 Tagen ausgeht und gestützt darauf die Einsatzstrafe um insge- samt weitere 24 Tage asperiert (vgl. Urk. 62 S. 78 ff.), so ist auch dies in zweiter Instanz nicht zu beanstanden. e) Nur marginal fallen bei der Strafzumessung schliesslich auch die beiden verübten Hausfriedensbrüche gemäss den Dossiers 7 und 8 ins Gewicht. Es han- delt sich diesbezüglich um Begleitdelikte von geringfügigen Diebstählen, in deren Rahmen der Beschuldigte an sich öffentliche Ladenlokalitäten nur kurz betreten hat, für welche er indes ein Hausverbot hatte. Angemessen erscheint hier mit der Vorinstanz jeweils eine Einzelstrafe von 14 Tagen entsprechend einer Asperation der Einsatzstrafe von insgesamt 16 Tagen. f) Zu berücksichtigen bleibt bei der Würdigung all dieser Taten, dass diese in einem engen Konnex mit der Alkoholproblematik des Beschuldigten stehen, wel- cher sich anlässlich der Berufungsverhandlung noch klarer ergeben hat (vgl. Urk. 85 S. 9; Urk. 81; Prot. II S. 14 f. + 22). Die sichtbaren Auswirkungen der zum Zeitpunkt der Taten bestehenden Alkoholsucht des Beschuldigten sind infolge der stets gleichen Relativierung bei der Tatkomponente pauschal für sämtliche Taten</w:t>
      </w:r>
    </w:p>
    <w:p>
      <w:r>
        <w:t>- 21 - zu berücksichtigen, wobei sich aufgrund der Gesamtumstände diesbezüglich eine Reduktion im Umfang von 10 - 20 Prozent als angemessen erweist.</w:t>
      </w:r>
    </w:p>
    <w:p>
      <w:r>
        <w:rPr>
          <w:b/>
        </w:rPr>
        <w:t>E. 3.3</w:t>
      </w:r>
    </w:p>
    <w:p>
      <w:r>
        <w:t>Zwischenfazit Im Sinne eines Zwischenergebnisses ergibt sich mithin für die festzule- gende Freiheitsstrafe nach Würdigung der Tatkomponente unter Berücksichtigung des Asperationsprinzips ein Strafmass von insgesamt 300 Tagen.</w:t>
      </w:r>
    </w:p>
    <w:p>
      <w:r>
        <w:rPr>
          <w:b/>
        </w:rPr>
        <w:t>E. 3.4</w:t>
      </w:r>
    </w:p>
    <w:p>
      <w:r>
        <w:t>Täterkomponente a) Im Rahmen der Bewertung der Täterkomponente kann den vorinstanzli- chen Erwägungen ebenfalls vollumfänglich gefolgt werden (vgl. Urk. 62 S. 82 ff.). Es ergeben sich auch nach der Befragung des Beschuldigten im Berufungsver- fahren in persönlicher Hinsicht keinerlei Aspekte, welche sich auf die Strafzumes- sung auswirken könnten (vgl. Prot. II S. 8 ff.). b) Mit der Vorinstanz scheint es sodann gerechtfertigt, die straferhöhenden Aspekte im Zusammenhang mit den vier einschlägigen Vorstrafen des Beschul- digten deutlich stärker zu gewichten als das rudimentäre Teilgeständnis, welches grossteils einer relativ klaren Beweislage geschuldet war. An der entsprechend gebotenen Straferhöhung von rund 20 Prozent vermag im Übrigen auch nichts zu ändern, dass der Beschuldigte im Berufungsverfahren diverse Schuldsprüche ak- zeptierte, zumal die davon betroffenen Dossiers sowohl in tatsächlicher als auch in rechtlicher Hinsicht wenig Raum für eine erfolgreiche Anfechtung liessen.</w:t>
      </w:r>
    </w:p>
    <w:p>
      <w:r>
        <w:rPr>
          <w:b/>
        </w:rPr>
        <w:t>E. 3.5</w:t>
      </w:r>
    </w:p>
    <w:p>
      <w:r>
        <w:t>Schlussfazit Der Beschuldigte ist demzufolge in zweiter Instanz mit einer Freiheitsstrafe von 360 Tagen bzw. 12 Monaten zu bestrafen. 4. Geldstrafe</w:t>
      </w:r>
    </w:p>
    <w:p>
      <w:r>
        <w:rPr>
          <w:b/>
        </w:rPr>
        <w:t>E. 4</w:t>
      </w:r>
    </w:p>
    <w:p>
      <w:r>
        <w:t>Rechtliche Würdigung</w:t>
      </w:r>
    </w:p>
    <w:p>
      <w:r>
        <w:rPr>
          <w:b/>
        </w:rPr>
        <w:t>E. 4.1</w:t>
      </w:r>
    </w:p>
    <w:p>
      <w:r>
        <w:t>Der vorinstanzlichen Festsetzung der Geldstrafe für die Beschimpfungen gemäss den Dossiers 2 und 9 in der Höhe von insgesamt 24 Tagessätzen kann unter Verweis auf die entsprechenden Ausführungen zur Tat- und Täterkompo-</w:t>
      </w:r>
    </w:p>
    <w:p>
      <w:r>
        <w:t>- 22 - nente (Urk. 62 S. 81 f. + 84) grundsätzlich gefolgt werden, zumal erschwerend ins Gewicht fällt, dass es sich jeweils um mehrere Verbalinjurien teils gegen mehrere Personen handelte, welche nicht mehr am untersten Rand denkbarer Beleidigun- gen angesiedelt werden können. Zudem hat der Beschuldigte auch in dieser Hin- sicht einschlägige Vorstrafen erwirkt, welche ihn als reichlich unbelehrbar erschei- nen lassen, jedoch ist mit Verweis auf die Ausführungen (vgl. vorstehend Zif- fer 3.2./f.) betreffend die Alkoholproblematik des Beschuldigten dieser auch vorlie- gend Rechnung zu tragen, weshalb sich eine Geldstrafe von insgesamt 18 Tages- sätzen rechtfertigt.</w:t>
      </w:r>
    </w:p>
    <w:p>
      <w:r>
        <w:rPr>
          <w:b/>
        </w:rPr>
        <w:t>E. 4.2</w:t>
      </w:r>
    </w:p>
    <w:p>
      <w:r>
        <w:t>Zu berücksichtigen ist nunmehr aber, dass die Sanktion als Zusatzstrafe zum Entscheid der Staatsanwaltschaft Baden vom 23. November 2022 auszufäl- len ist, in dessen Rahmen der Beschuldigte unter anderem zu einer Geldstrafe von 60 Tagessätzen (zu Fr. 70.–) verurteilt worden ist (vgl. Urk. 76 S. 5; vgl. auch Urk. 83 [Beizugsakten]). Wären die beiden genannten Beschimpfungen gemein- sam mit den damals sanktionierten Delikten (mehrfache Drohungen gegen die Ehefrau und Hausfriedensbruch) beurteilt worden, so hätte sich insgesamt eine (hypothetische) Geldstrafe von 72 Tagessätzen ergeben, weshalb heute – nach Abzug der Dauer der früheren rechtskräftigen Sanktion – eine Zusatzstrafe von 12 Tagessätzen auszufällen ist.</w:t>
      </w:r>
    </w:p>
    <w:p>
      <w:r>
        <w:rPr>
          <w:b/>
        </w:rPr>
        <w:t>E. 4.3</w:t>
      </w:r>
    </w:p>
    <w:p>
      <w:r>
        <w:t>Angesichts der in der heutigen Berufungsverhandlung vorgebrachten, gleichgebliebenen finanziellen Verhältnisse des Beschuldigten ist die Tagessatz- höhe auf Fr. 30.– festzusetzen (vgl. Prot. II S. 11 f.).</w:t>
      </w:r>
    </w:p>
    <w:p>
      <w:r>
        <w:rPr>
          <w:b/>
        </w:rPr>
        <w:t>E. 5</w:t>
      </w:r>
    </w:p>
    <w:p>
      <w:r>
        <w:t>Busse</w:t>
      </w:r>
    </w:p>
    <w:p>
      <w:r>
        <w:rPr>
          <w:b/>
        </w:rPr>
        <w:t>E. 5.1</w:t>
      </w:r>
    </w:p>
    <w:p>
      <w:r>
        <w:t>Die vorinstanzlichen Erwägungen zur Festsetzung der Busse für die Über- tretung des Betäubungsmittelgesetzes gemäss Dossier 10 sowie den vierfach be- gangenen geringfügigen Diebstahl gemäss den Dossiers 3, 5, 7 und 8 sind grund- sätzlich nicht zu beanstanden, wobei auch hier bei der Tatschwere das Alkohol- problem des Beschuldigten (vgl. vorstehend Ziffer 3.2./f.) zu beachten ist, was un- ter Einbezug der dargelegten Täterkomponente eine Busse von Fr. 650.– zur Folge hat. Berücksichtigt man auch hier die sich neu ergebende Konstellation,</w:t>
      </w:r>
    </w:p>
    <w:p>
      <w:r>
        <w:t>- 23 - dass nunmehr eine Zusatzstrafe zur mit Entscheid der Staatsanwaltschaft Baden vom 23. November 2022 festgesetzten Busse von Fr. 200.– auszufällen ist, so er- scheint in Anbetracht des Umstandes, dass dannzumal unter Einbezug des frühe- ren zusätzlichen geringfügigen Diebstahls eine (hypothetische) Busse in der Höhe von Fr. 800.– festzusetzen gewesen wäre, nach Abzug der früheren rechtskräfti- gen Sanktion im Rahmen des heutigen Berufungsurteils eine Busse von Fr. 600.– angemessen.</w:t>
      </w:r>
    </w:p>
    <w:p>
      <w:r>
        <w:rPr>
          <w:b/>
        </w:rPr>
        <w:t>E. 5.2</w:t>
      </w:r>
    </w:p>
    <w:p>
      <w:r>
        <w:t>Bezahlt der Beschuldigte die Busse nicht, so tritt an deren Stelle bei einem Umwandlungssatz von Fr. 100.– eine Ersatzfreiheitsstrafe von 6 Tagen (Art. 106 Abs. 2 StGB).</w:t>
      </w:r>
    </w:p>
    <w:p>
      <w:r>
        <w:rPr>
          <w:b/>
        </w:rPr>
        <w:t>E. 6</w:t>
      </w:r>
    </w:p>
    <w:p>
      <w:r>
        <w:t>Zusammenfassung</w:t>
      </w:r>
    </w:p>
    <w:p>
      <w:r>
        <w:rPr>
          <w:b/>
        </w:rPr>
        <w:t>E. 6.1</w:t>
      </w:r>
    </w:p>
    <w:p>
      <w:r>
        <w:t>Zusammenfassend ist der Beschuldigte mithin für die im vorliegenden Ver- fahren verübten Taten mit einer Freiheitsstrafe von 12 Monaten, einer Geldstrafe von 12 Tagessätzen zu Fr. 30.– sowie einer Busse von Fr. 600.– zu bestrafen, wobei letztere beiden Strafen im Sinne einer Zusatzstrafe zu den mit Entscheid der Staatsanwaltschaft Baden vom 23. November 2022 festgelegten gleichartigen Sanktionen auszufällen sind.</w:t>
      </w:r>
    </w:p>
    <w:p>
      <w:r>
        <w:rPr>
          <w:b/>
        </w:rPr>
        <w:t>E. 6.2</w:t>
      </w:r>
    </w:p>
    <w:p>
      <w:r>
        <w:t>An die auszufällende Freiheitsstrafe sind die bislang in Untersuchungshaft verbrachten 38 Tage anzurechnen (Art. 51 StGB).</w:t>
      </w:r>
    </w:p>
    <w:p>
      <w:r>
        <w:rPr>
          <w:b/>
        </w:rPr>
        <w:t>E. 7</w:t>
      </w:r>
    </w:p>
    <w:p>
      <w:r>
        <w:t>Die erstinstanzliche Kostenregelung (Ziff. 13 und 14) wird bestätigt.</w:t>
      </w:r>
    </w:p>
    <w:p>
      <w:r>
        <w:rPr>
          <w:b/>
        </w:rPr>
        <w:t>E. 7.1</w:t>
      </w:r>
    </w:p>
    <w:p>
      <w:r>
        <w:t>Der Umstand, dass dem Beschuldigten in erster Instanz betreffend den Vollzug der Strafen für die im hiesigen Verfahren zu beurteilenden Taten ange- sichts seiner erneuten einschlägigen Delinquenz eine schlechte Prognose gestellt werden musste, wird von der Verteidigung insoweit nicht angefochten, als sie eine unbedingte Geldstrafe beantragt, auch wenn sie an anderer Stelle eine positive Legalprognose des Beschuldigten anführt (vgl. Urk. 85 S. 9; Prot. II S. 7).</w:t>
      </w:r>
    </w:p>
    <w:p>
      <w:r>
        <w:rPr>
          <w:b/>
        </w:rPr>
        <w:t>E. 7.2</w:t>
      </w:r>
    </w:p>
    <w:p>
      <w:r>
        <w:t>Mit der Vorinstanz ist zu konstatieren, dass vorliegend besonders günstige Umstände für die Gewährung des bedingten Strafvollzugs gegeben sein müssen</w:t>
      </w:r>
    </w:p>
    <w:p>
      <w:r>
        <w:t>- 24 - (Urk. 62 S. 86), wobei den Erwägungen der Vorinstanz auch insofern zu folgen ist, als sie aufgrund der andauernden Delinquenz des Beschuldigten von schlech- ten Bewährungsaussichten ausgeht (Urk. 62 S. 87). Es kann in diesem Zusam- menhang namentlich auch nicht gesagt werden, dass die nunmehr verbüsste Un- tersuchungshaft mit genügender Sicherheit einen derart bleibenden Eindruck auf den Beschuldigten hinterlassen hat, dass er inskünftig nicht mehr delinquieren wird. Der Beschuldigte hatte nämlich bereits in einem früheren Verfahren eine län- gere Freiheitsstrafe von 16 Monaten zu verbüssen, wobei er nur wenige Monate nach der entsprechenden bedingten Entlassung aus dem Strafvollzug vom 23. Ja- nuar 2019 erneut straffällig wurde (vgl. vorliegendes Dossier 1). Hinzu kommt, dass der Beschuldigte mit Strafbefehl vom 23. November 2022 für weitere Delikte mit Tatzeitraum März bis Mai 2022 verurteilt wurde (Urk. 76), was seine Legalpro- gnose zusätzlich belastet. Am 15. Dezember 2020 wurde im Übrigen die bis dahin laufende ambulante Massnahme betreffend das Alkoholproblem des Beschuldig- ten aufgehoben, ohne einen bleibenden Erfolg gezeitigt zu haben, wie die in casu zu beurteilende Delinquenz anschaulich zeigt. Der Beschuldigte hat sich im Jahr 2022 erneut in eine psychotherapeutische Behandlung begeben, die zuerst statio- när, dann in einer Tagesklinik und seit April 2023 ambulant bei der Forel Klinik durchgeführt wird. Dem Verlaufsbericht der Forel Klinik zufolge konnte der Be- schuldigte seit der tagesklinischen Behandlung dem Alkohol entsagen (Urk. 81), was zwar eine positive Tendenz erkennbar werden lässt, welche jedoch ange- sichts der bisherigen Delinquenz mit der bereits verbüssten Haftstrafe noch keine besonders günstige Legalprognose zu begründen vermag. In Anbetracht der Ge- samtumstände vermöchte sich die Legalprognose des Beschuldigten nur bei An- tritt einer längerfristigen stationären Therapie nachhaltig zu verbessern. Der Be- schuldigte stellte jedoch keinen Antrag auf eine stationäre Massnahme, weshalb nicht davon auszugehen ist, er könne sich zu einem solch einschneidenden Schritt durchringen, so dass vor diesem Hintergrund sowohl die Freiheits- als auch die Geldstrafe zu vollziehen ist. Das vorgebrachte Gesuch um Familien- nachzug, bei dessen Gutheissung der Beschuldigte legal in der Schweiz verblei- ben könnte (Urk. 80), und die Fortsetzung der ehelichen Gemeinschaft des Be- schuldigten (vgl. Prot. II S. 12) dürften beim Beschuldigten für die gebotene Stabi-</w:t>
      </w:r>
    </w:p>
    <w:p>
      <w:r>
        <w:t>- 25 - lität für die Zukunft sorgen, vermögen dem Gesamtbild jedoch nicht die nötige Wendung geben, um in casu doch noch von einem Vollzug der Strafen absehen zu können. V. Einziehung Nachdem der Beschuldigte auch in zweiter Instanz wegen seiner Drohung mit dem beschlagnahmten roten Taschenmesser der Marke "Victorinox" schuldig zu sprechen ist (vgl. vorne Ziffer III./5. [Dossier 3]), bleibt es im Berufungsverfah- ren bei der Einziehung dieses Taschenmessers im Sinne von Art. 69 Abs. 1 StGB. Das einzuziehende Messer ist als Tatwerkzeug gestützt auf Art. 69 Abs. 2 StGB der Lagerbehörde zur Vernichtung zu überlassen. VI. Kosten- und Entschädigungsfolgen 1. Der Berufungsprozess brachte im Schuldpunkt keine Änderung des Urteils der Vorinstanz, welche dem Beschuldigten trotz punktueller Verfahrenseinstellun- gen zu Recht sämtliche Kosten der Untersuchung und des erstinstanzlichen Ver- fahrens auferlegt hat. Die erstinstanzliche Kosten- und Entschädigungsregelung (Ziffern 13 und 14) ist demzufolge heute vollumfänglich zu bestätigen (vgl. Art. 426 StPO). 2.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Berufungserklärung ge- stellten Anträge gutgeheissen werden (vgl. Urteil 6B_1344/2019 vom 11. März 2020, E. 2.2.). Ausnahmen von der allgemeinen Kostenregelung von Art. 428 Abs. 1 StPO sieht Art. 428 Abs. 2 StPO für jene Fälle vor, in denen die Vorausset- zung für das Obsiegen erst im Rechtsmittelverfahren geschaffen oder der ange- fochtene Entscheid nur unwesentlich abgeändert wurde.</w:t>
      </w:r>
    </w:p>
    <w:p>
      <w:r>
        <w:t>- 26 -</w:t>
      </w:r>
    </w:p>
    <w:p>
      <w:r>
        <w:rPr>
          <w:b/>
        </w:rPr>
        <w:t>E. 8</w:t>
      </w:r>
    </w:p>
    <w:p>
      <w:r>
        <w:t>Die zweitinstanzliche Gerichtsgebühr wird festgesetzt auf: Fr. 3'600.– ; die weiteren Kosten betragen: Fr. 3'200.– amtliche Verteidigung</w:t>
      </w:r>
    </w:p>
    <w:p>
      <w:r>
        <w:rPr>
          <w:b/>
        </w:rPr>
        <w:t>E. 9</w:t>
      </w:r>
    </w:p>
    <w:p>
      <w:r>
        <w:t>Die Kosten des Berufungsverfahrens, mit Ausnahme der Kosten der amtlichen Verteidigung, werden dem Beschuldigten auferlegt. Die Kosten der amtlichen Verteidigung werden auf die Gerichtskasse ge- nommen. Die Rückzahlungspflicht des Beschuldigten gemäss Art. 135 Abs. 4 StPO bleibt vorbehalten.</w:t>
      </w:r>
    </w:p>
    <w:p>
      <w:r>
        <w:rPr>
          <w:b/>
        </w:rPr>
        <w:t>E. 10</w:t>
      </w:r>
    </w:p>
    <w:p>
      <w:r>
        <w:t>Mündliche Eröffnung und schriftliche Mitteilung im Dispositiv an die amtliche Verteidigung im Doppel für sich und zuhanden des  Beschuldigten (übergeben) die Staatsanwaltschaft Zürich-Sihl  die Privatklägerschaft  (Eine begründete Urteilsausfertigung gemäss Art. 84 Abs. 4 StPO wird den Privatklägern nur zugestellt, sofern sie dies innert 10 Tagen nach Erhalt des Dispositivs verlangen.) sowie in vollständiger Ausfertigung an</w:t>
      </w:r>
    </w:p>
    <w:p>
      <w:r>
        <w:t>- 29 - die amtliche Verteidigung im Doppel für sich und zuhanden des  Beschuldigten die Staatsanwaltschaft Zürich-Sihl  die Privatklägerschaft  und nach unbenütztem Ablauf der Rechtsmittelfrist bzw. Erledigung allfälli- ger Rechtsmittel an die Vorinstanz  den Justizvollzug des Kantons Zürich, Abteilung Bewährungs- und  Vollzugsdienste das Migrationsamt des Kantons Zürich  die Koordinationsstelle VOSTRA/DNA mit dem Formular "Löschung  des DNA-Profils und Vernichtung des ED-Materials" zwecks Bestimmung der Vernichtungs- und Löschungsdaten die Kantonspolizei Zürich, KDM-FS-A (Asservaten-Triage), betreffend  Dispositivziffer 6 das Strassenverkehrsamt des Kantons Aargau (PIN  Nr. 00.001.652.117) die Koordinationsstelle VOSTRA/DNA mit Formular A. </w:t>
      </w:r>
    </w:p>
    <w:p>
      <w:r>
        <w:rPr>
          <w:b/>
        </w:rPr>
        <w:t>E. 11</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- 30 - Obergericht des Kantons Zürich II. Strafkammer Zürich, 6. Februar 2024 Der Präsident: Die Gerichtsschreiberin: Oberrichter lic. iur. Spiess M.A. HSG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