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SB230047 vom 20. März 2023</w:t>
      </w:r>
    </w:p>
    <w:p>
      <w:r>
        <w:t>ZH Obergericht, 2023-03-20, DE</w:t>
      </w:r>
    </w:p>
    <w:p>
      <w:r>
        <w:rPr>
          <w:b/>
        </w:rPr>
        <w:t xml:space="preserve">Quelle: </w:t>
      </w:r>
      <w:r>
        <w:t>https://mcp.opencaselaw.ch/entscheid/zh_obergericht_SB230047</w:t>
      </w:r>
    </w:p>
    <w:p>
      <w:r>
        <w:t>FR: ZH_OBERGERICHT SB230047 du 20 mars 2023</w:t>
      </w:r>
    </w:p>
    <w:p>
      <w:r>
        <w:t>IT: ZH_OBERGERICHT SB230047 del 20 marzo 2023</w:t>
      </w:r>
    </w:p>
    <w:p>
      <w:pPr>
        <w:pStyle w:val="Heading2"/>
      </w:pPr>
      <w:r>
        <w:t>Erwägungen</w:t>
      </w:r>
    </w:p>
    <w:p>
      <w:r>
        <w:rPr>
          <w:b/>
        </w:rPr>
        <w:t>E. 1</w:t>
      </w:r>
    </w:p>
    <w:p>
      <w:r>
        <w:t>Der Beschuldigte wurde mit Urteil der hiesigen Kammer vom 8. Juni 2022 gemäss dem eingangs aufgeführten Urteilsdispositiv vollumfänglich freigesprochen (Dispositivziffer 1). Die Zivilklage der Privatklägerin wurde abgewiesen (Dispositivziffer 2). Die Gerichtsgebühr wurde auf Fr. 3'000.– und die Entschädigung der unentgeltlichen Vertretung der Privatklägerin auf Fr. 8'800.– festgesetzt (Dispositivziffer 3). Die Gerichtsgebühr wurde der Privatklägerin auferlegt. Die Kosten der unentgeltlichen Vertretung der Privatklägerin wurden – unter Rückforderungsvorbehalt – einstweilen auf die Gerichtskasse genommen (Dispositivziffer 4). Zudem wurde die Privatklägerin verpflichtet, dem Beschuldigten für seine erbetene Verteidigung im Berufungsverfahren eine Prozessentschädigung von Fr. 5'200.– zu bezahlen (Dispositivziffer 5). Im Übrigen wurde mit Vorabbeschluss festgestellt, dass das Urteil des Bezirksgerichts Bülach vom 29. April 2021 betreffend dessen Dispositivziffern 3 bis 6 in Rechtskraft erwachsen ist.</w:t>
      </w:r>
    </w:p>
    <w:p>
      <w:r>
        <w:rPr>
          <w:b/>
        </w:rPr>
        <w:t>E. 2</w:t>
      </w:r>
    </w:p>
    <w:p>
      <w:r>
        <w:t>Das Bundesgericht wies die Beschwerde der Privatklägerin mit Urteil vom 12. Januar 2023 grossmehrheitlich ab. Einzig Dispositivziffer 4 wurde aufgehoben und das Verfahren diesbezüglich zur neuen Entscheidung an die hiesige Kammer zurückgewiesen. Das Bundesgericht erwog zusammengefasst, dass die Ge- richtsgebühr analog zur Entschädigung der unentgeltlichen Vertretung der Privat- klägerin – unter Rückforderungsvorbehalt – einstweilen auf die Gerichtskasse ge- nommen werden müsse (Urteil des Bundesgerichts vom 12. Januar 2023, Urk. 147, E. 3.3). Abgesehen von Dispositivziffer 4 ist das Urteil vom 8. Juni 2022 demnach in Rechtskraft erwachsen. Sämtliche Parteien haben erklärt, mit der Korrektur der fraglichen Dispositivziffer einverstanden zu sein und auf Stellungnahme zu verzichten (Urk. 149).</w:t>
      </w:r>
    </w:p>
    <w:p>
      <w:r>
        <w:t>- 6 - Die aufgehobene Dispositivziffer 4 ist daher im Sinne der bundesgerichtlichen Er- wägung zu korrigieren.</w:t>
      </w:r>
    </w:p>
    <w:p>
      <w:r>
        <w:rPr>
          <w:b/>
        </w:rPr>
        <w:t>E. 3</w:t>
      </w:r>
    </w:p>
    <w:p>
      <w:r>
        <w:t>Für das vorliegende Verfahren (SB230047) werden keine Entschädigungen zugesprochen.</w:t>
      </w:r>
    </w:p>
    <w:p>
      <w:r>
        <w:rPr>
          <w:b/>
        </w:rPr>
        <w:t>E. 4</w:t>
      </w:r>
    </w:p>
    <w:p>
      <w:r>
        <w:t>Schriftliche Mitteilung an − die Verteidigung im Doppel für sich und zuhanden des Beschuldigten − die Staatsanwaltschaft Winterthur/Unterland − die Vertretung der Privatklägerin im Doppel für sich und die Privat- klägerschaft sowie nach Ablauf der Rechtsmittelfrist bzw. Erledigung allfälliger Rechts- mittel an − die Kasse des Obergerichts des Kantons Zürich − die Vorinstanz (unter Rücksendung der Akten).</w:t>
      </w:r>
    </w:p>
    <w:p>
      <w:r>
        <w:t>- 7 -</w:t>
      </w:r>
    </w:p>
    <w:p>
      <w:r>
        <w:rPr>
          <w:b/>
        </w:rPr>
        <w:t>E. 5</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20. März 2023 Der Präsident: Der Gerichtsschreiber: lic. iur. B. Gut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