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SB230042 vom 24. Januar 2024</w:t>
      </w:r>
    </w:p>
    <w:p>
      <w:r>
        <w:t>ZH Obergericht, 2024-01-24, DE</w:t>
      </w:r>
    </w:p>
    <w:p>
      <w:r>
        <w:rPr>
          <w:b/>
        </w:rPr>
        <w:t xml:space="preserve">Quelle: </w:t>
      </w:r>
      <w:r>
        <w:t>https://mcp.opencaselaw.ch/entscheid/zh_obergericht_SB230042</w:t>
      </w:r>
    </w:p>
    <w:p>
      <w:r>
        <w:t>FR: ZH_OBERGERICHT SB230042 du 24 janvier 2024</w:t>
      </w:r>
    </w:p>
    <w:p>
      <w:r>
        <w:t>IT: ZH_OBERGERICHT SB230042 del 24 gennaio 2024</w:t>
      </w:r>
    </w:p>
    <w:p>
      <w:pPr>
        <w:pStyle w:val="Heading2"/>
      </w:pPr>
      <w:r>
        <w:t>Erwägungen</w:t>
      </w:r>
    </w:p>
    <w:p>
      <w:r>
        <w:rPr>
          <w:b/>
        </w:rPr>
        <w:t>E. 1</w:t>
      </w:r>
    </w:p>
    <w:p>
      <w:r>
        <w:t>Verfahrensgang</w:t>
      </w:r>
    </w:p>
    <w:p>
      <w:r>
        <w:rPr>
          <w:b/>
        </w:rPr>
        <w:t>E. 1.1</w:t>
      </w:r>
    </w:p>
    <w:p>
      <w:r>
        <w:t>Die Gerichtsgebühr für das erstinstanzliche Verfahren vor Einzelgericht ist auf Fr. 1'500.– festzusetzen (§ 2 Abs. 1 lit. b, c und d GebV OG in Verbindung mit § 14 Abs. 1 lit. a GebV OG). An weiteren Kosten liegt einzig die Gebühr von Fr. 1'000.– für das Vorverfahren vor (Urk. 9).</w:t>
      </w:r>
    </w:p>
    <w:p>
      <w:r>
        <w:rPr>
          <w:b/>
        </w:rPr>
        <w:t>E. 1.2</w:t>
      </w:r>
    </w:p>
    <w:p>
      <w:r>
        <w:t>Aufgrund des Schuldspruchs sind die erstinstanzlichen Kosten und die Kos- ten des Vorverfahrens der Beschuldigten aufzuerlegen (Art. 426 Abs. 1 Satz 1 StPO). 2. Kosten des Berufungsverfahrens</w:t>
      </w:r>
    </w:p>
    <w:p>
      <w:r>
        <w:rPr>
          <w:b/>
        </w:rPr>
        <w:t>E. 1.3</w:t>
      </w:r>
    </w:p>
    <w:p>
      <w:r>
        <w:t>Die Verteidigung beantragte, der vorinstanzliche Freispruch sei zu bestäti- gen (Urk. 30; Urk. 45). 2. Rechtliche Grundlagen</w:t>
      </w:r>
    </w:p>
    <w:p>
      <w:r>
        <w:rPr>
          <w:b/>
        </w:rPr>
        <w:t>E. 2</w:t>
      </w:r>
    </w:p>
    <w:p>
      <w:r>
        <w:t>Neue Beweismittel im Berufungsverfahren</w:t>
      </w:r>
    </w:p>
    <w:p>
      <w:r>
        <w:rPr>
          <w:b/>
        </w:rPr>
        <w:t>E. 2.1</w:t>
      </w:r>
    </w:p>
    <w:p>
      <w:r>
        <w:t>Die Gerichtsgebühr für das Berufungsverfahren ist auf Fr. 3'600.– zu veran- schlagen (§ 2 Abs. 1 lit. b, c und d GebV OG sowie § 16 Abs. 1 in Verbindung mit § 14 GebV OG).</w:t>
      </w:r>
    </w:p>
    <w:p>
      <w:r>
        <w:rPr>
          <w:b/>
        </w:rPr>
        <w:t>E. 2.1.1</w:t>
      </w:r>
    </w:p>
    <w:p>
      <w:r>
        <w:t>Der Nötigung im Sinne von Art. 181 StGB macht sich schuldig, wer je- manden durch Gewalt oder Androhung ernstlicher Nachteile oder durch andere Beschränkung seiner Handlungsfreiheit nötigt, etwas zu tun, zu unterlassen oder zu dulden.</w:t>
      </w:r>
    </w:p>
    <w:p>
      <w:r>
        <w:rPr>
          <w:b/>
        </w:rPr>
        <w:t>E. 2.1.2</w:t>
      </w:r>
    </w:p>
    <w:p>
      <w:r>
        <w:t>Die Tatbestandsvariante der "anderen Beschränkung der Hand- lungsfreiheit" ist restriktiv auszulegen. Dieses Zwangsmittel muss, um tat- bestandsmässig zu sein, das üblicherweise geduldete Mass an Beeinflussung in ähnlicher Weise eindeutig überschreiten, wie es für die ausdrücklich genannten Nötigungsmittel der Gewalt und der Androhung ernstlicher Nachteile gilt (BGE 134 IV 216 E. 4.1 mit Hinweisen). Es muss ihnen in seiner Intensität bzw. Wirkung ähnlich sein (BGE 119 IV 301 E. 2a mit Hinweis). Als Nötigung gilt z.B. die Bildung eines "Menschenteppichs" und die Sabotage einer Bahnschranke, die je den Strassenverkehr behinderten oder die Blockade des Autobahnverkehrs während eineinhalb Stunden (Zusammenfassung der bundesgerichtlichen Rechtsprechung in BGE 134 IV 216 E. 4.2 und 129 IV 6 E. 2.2 f.).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134 IV 216 E. 4.1; je mit Hinweisen). Geschütztes Rechtsgut von Art. 181 StGB ist die Handlungsfreiheit bzw. die Freiheit der Willensbildung und -betätigung des Einzelnen (BGE 129 IV 6 E. 2.1 mit Hinweisen). Geschützt ist auch die Freiheit, den Willen der automobilen Fortbewegung zu betätigen (BGE 134 IV 216 E. 4.4.3 mit Hinweis). Insbesondere Verkehrsblockaden werden in der Regel aber nicht notwendigerweise, im Hinblick auf ein Fernziel veranstaltet. Die Blockade wird durchgeführt, um auf dieses Fernziel hinzuweisen und ihm allenfalls näher zu</w:t>
      </w:r>
    </w:p>
    <w:p>
      <w:r>
        <w:t>- 16 - kommen; darin liegt das Motiv der Täter für die Aktion. Das Fernziel und das Motiv sind im Unterschied zum Nötigungsmittel und zum Nötigungszweck keine Elemente des Tatbestands der Nötigung (BGE 134 IV 216 E. 4.4.1.).</w:t>
      </w:r>
    </w:p>
    <w:p>
      <w:r>
        <w:rPr>
          <w:b/>
        </w:rPr>
        <w:t>E. 2.2</w:t>
      </w:r>
    </w:p>
    <w:p>
      <w:r>
        <w:t>Im Berufungsverfahren werden die Kosten nach Obsiegen und Unterliegen auferlegt (Art. 428 Abs. 1 Satz 1 StPO). Die Staatsanwaltschaft obsiegt mit ihrer Berufung vollumfänglich, während die Beschuldigte dementsprechend unterliegt. Die Kosten des Berufungsverfahrens sind daher, mit Ausnahme derjenigen der amtlichen Verteidigung, der Beschuldigten aufzuerlegen, wobei die Rückzah- lungspflicht für die Kosten der amtlichen Verteidigung gemäss Art. 135 Abs. 4 StPO vorbehalten bleibt.</w:t>
      </w:r>
    </w:p>
    <w:p>
      <w:r>
        <w:rPr>
          <w:b/>
        </w:rPr>
        <w:t>E. 2.2.1</w:t>
      </w:r>
    </w:p>
    <w:p>
      <w:r>
        <w:t>Mittäter ist, wer bei der Entschliessung, Planung oder Ausführung ei- nes Deliktes vorsätzlich und in massgebender Weise mit anderen Tätern zusam- menwirkt, so dass er als Hauptbeteiligter dasteht. Dabei kommt es darauf an, ob der Tatbeitrag nach den Umständen des konkreten Falles für die Ausführung des Deliktes wesentlich erscheint. Das blosse Wollen der Tat genügt zur Begründung von Mittäterschaft nicht. Nicht erforderlich ist, dass der Mittäter an der eigentli- chen Tatausführung beteiligt ist oder sie zu beeinflussen vermag. Die Mittäter- schaft setzt einen gemeinsamen Tatentschluss voraus, der indessen nicht not- wendigerweise ausdrücklich sein muss, sondern sich auch im konkludenten Han- deln äussern kann. Eventualvorsatz bezüglich des Erfolgs genügt. Es ist nicht er- forderlich, dass der Mittäter an der Planung des Delikts beteiligt ist. Er kann spä- ter dazustossen. Auch genügt es, dass er sich später den Vorsatz seiner Mittäter zu eigen macht. Massgebend ist, dass der Mittäter am Entschluss, ein Delikt zu begehen, oder an seiner Ausführung derart beteiligt ist, dass er nicht als weiterer Beteiligter, sondern als Hauptbeteiligter erscheint (BGE 135 IV 152 E. 2.3.1; 133 IV 76 E. 2.7; 130 IV 58 E. 9.2.1; 125 IV 134 E. 3a; DONATSCH/GODENZI/TAG, Straf- recht I, Verbrechenslehre, 10. Aufl., Zürich 2022, S. 176 ff.).</w:t>
      </w:r>
    </w:p>
    <w:p>
      <w:r>
        <w:rPr>
          <w:b/>
        </w:rPr>
        <w:t>E. 2.2.2</w:t>
      </w:r>
    </w:p>
    <w:p>
      <w:r>
        <w:t>Das Bundesgericht hat Mittäterschaft im Zusammenhang mit Protestaktionen und Blockaden verschiedentlich bejaht. Dies ist etwa der Fall bei Blockadeaktionen von "Greenpeace"-Aktivisten gegen die Kernkraftwerke Beznau, Gösgen und Leibstadt (BGE 129 IV 6 E. 5), bei der Bildung eines "Menschenteppichs" durch 24 Demonstranten vor dem Zugang zur militärischen Ausstellung "W 81" auf dem Gelände der Winterthurer Eulachhalle (BGE 108 IV 165), bei der Blockade beider Tunnelröhren des Bareggtunnels durch 30 Autobusse und zahlreiche Personenwagen von rund 2000 Demonstranten (BGE 134 IV 216), bei der Blockade sämtlicher Zufahrten zu einem Kies- und Betonwerk respektive zu einem Belagswerk durch 67 Beteiligte (Urteil des</w:t>
      </w:r>
    </w:p>
    <w:p>
      <w:r>
        <w:t>- 17 - Bundesgerichts 6B_216/2011 vom 13. September 2011) und bei der Bildung einer "Menschenmauer" durch 23 Personen auf der Rheinbrücke bei Kaiserstuhl (Urteil des Bundesgerichts 6B_793/2008 vom 24. März 2009).</w:t>
      </w:r>
    </w:p>
    <w:p>
      <w:r>
        <w:rPr>
          <w:b/>
        </w:rPr>
        <w:t>E. 2.3</w:t>
      </w:r>
    </w:p>
    <w:p>
      <w:r>
        <w:t>Der amtliche Verteidiger der Beschuldigten, Rechtsanwalt lic. iur. X._____, ist für das Berufungsverfahren mit Fr. 4'630.– (Urk. 46; zuzüglich Berufungsver- handlung, inkl. Mehrwertsteuer), aus der Gerichtskasse zu entschädigen.</w:t>
      </w:r>
    </w:p>
    <w:p>
      <w:r>
        <w:t>- 30 - Es wird erkannt:</w:t>
      </w:r>
    </w:p>
    <w:p>
      <w:r>
        <w:rPr>
          <w:b/>
        </w:rPr>
        <w:t>E. 2.3.1</w:t>
      </w:r>
    </w:p>
    <w:p>
      <w:r>
        <w:t>Demonstrationen stehen grundsätzlich unter dem Schutz der verfas- sungsmässigen Grundrechte der Meinungsfreiheit und der Versammlungsfreiheit (Art. 16 und Art. 22 BV; Art. 10 und Art. 11 EMRK). Hinsichtlich Kundgebungen auf öffentlichem Grund wird die Meinungsäusserungsfreiheit durch die Versammlungsfreiheit konkretisiert. Diese gewährleistet den Anspruch, Versamm- lungen zu organisieren, an Versammlungen teilzunehmen oder Versammlungen fernzubleiben (Art. 22 BV; Art. 11 EMRK; Art. 21 UNO-Pakt II; BGE 143 I 147 E. 3.1 f.; Urteil des Bundesgerichts 1C_181/2019 vom 29. April 2020 E. 4.1, nicht publ. in: BGE 147 I 103; je mit Hinweisen). Betreffend die Strafbarkeit von Blocka- den ist die Beeinträchtigung oder die Gefährdung Dritter gegenüber der Ver- sammlungsfreiheit abzuwägen. Wichtige Kriterien zur Beurteilung der Zweck-Mit- tel Korrelation sind der Zusammenhang zwischen der Blockade und dem Protest- gegenstand, die Intensität der Blockade und die Dringlichkeit des behinderten Verkehrs (MAYA HERTIG, in: BSK BV, 2015, Art. 22 N 34). Da Staaten das Recht haben, eine Bewilligung für Demonstrationen zu verlangen, haben sie auch das Recht, Teilnehmende zu sanktionieren, die an nicht bewilligten Demonstrationen teilnehmen (Urteil des EGMR Nr. 17391/06 vom 12. Juni 2014 i.S. Primov und an- dere gegen Russland, § 118). Eine Sanktion gegenüber Teilnehmern einer unbe- willigten Demonstration ist mit Art. 11 EMRK vereinbar (Urteil des EGMR Nr. 26986/03 vom 15. November 2007 i.S. Galstyan gegen Armenien, § 115). Ge- mäss Rechtsprechung des Bundesgerichts, mit Bezug zu derjenigen des EGMR, müssen Behörden in Fällen, in denen Demonstranten keine Gewalttaten bege- hen, ein gewisses Mass an Toleranz für nicht bewilligte friedliche Versammlungen ausüben, um die Aushöhlung des Schutzbereichs der Versammlungsfreiheit ge- mäss Art. 11 EMRK vorzubeugen (Urteile des Bundesgerichts 6B_138/2023 vom 18. Oktober 2023 E. 3.3.2; 6B_242/2022 vom 12. Dezember 2022 E. 3.2.4; je mit Hinweisen).</w:t>
      </w:r>
    </w:p>
    <w:p>
      <w:r>
        <w:t>- 18 -</w:t>
      </w:r>
    </w:p>
    <w:p>
      <w:r>
        <w:rPr>
          <w:b/>
        </w:rPr>
        <w:t>E. 2.3.2</w:t>
      </w:r>
    </w:p>
    <w:p>
      <w:r>
        <w:t>Das Bundesgericht hält weiter fest, die von den Behörden geforderte Duldung "illegaler" friedlicher Versammlungen erstrecke sich auch auf Fälle, in denen die betreffende Demonstration an einem öffentlichen Ort ohne jegliches Si- cherheitsrisiko stattfinde, wenn die von den Demonstranten verursachte Belästi- gung nicht über das zulässige Mass hinausgehe und der Grad der geringfügigen Störung durch die normale Ausübung des Rechts auf friedliche Versammlung an einem öffentlichen Ort verursacht werde. Die Duldung müsse sich auch auf Ver- sammlungen erstrecken, die zu geringfügigen Störungen des täglichen Lebens, insbesondere des Strassenverkehrs, führten. Die Grenzen der Duldung, die die Behörden im Hinblick auf eine rechtswidrige Versammlung an den Tag legen soll- ten, hänge von den besonderen Umständen des Einzelfalls ab, insbesondere von der Dauer und dem Ausmass der durch die Versammlung verursachten Störung der öffentlichen Ordnung und davon, ob die Teilnehmenden eine andere ausrei- chende Möglichkeit gehabt hätten, ihre Meinung kundzutun. Wenn Demonstran- ten vorsätzlich das tägliche Leben und rechtmässige Aktivitäten Dritter störten, habe der EGMR akzeptiert, dass diese Störungen, als "verwerfliche Handlungen" angesehen werden könnten und die Verhängung auch strafrechtlicher Sanktio- nen rechtfertigten, sofern ihr Ausmass über das hinausgehe, was die normale Ausübung der Freiheit der friedlichen Versammlung mit sich bringe (Urteil des Bundesgerichts 6B_138/2023 vom 18. Oktober 2023 E. 3.3.2; mit Hinweisen auch auf die Urteile des EGMR).</w:t>
      </w:r>
    </w:p>
    <w:p>
      <w:r>
        <w:rPr>
          <w:b/>
        </w:rPr>
        <w:t>E. 2.4</w:t>
      </w:r>
    </w:p>
    <w:p>
      <w:r>
        <w:t>Hinsichtlich des Vorbringens der Verteidigung, es bestünden Zweifel an der Echtheit und Unverfälschtheit des nachträglich eingereichten Bild- und Videoma- terials, ist festzuhalten, dass keinerlei Hinweise auf gefälschte respektive manipu- lierte Polizeiaufnahmen bestehen. Die Beschuldigte gab anlässlich der erstin- stanzlichen Hauptverhandlung zu Protokoll, dass sie zum fraglichen Zeitpunkt an der betreffenden Örtlichkeit zugegen war (Prot. I S. 9 f.). Die Zeitangaben auf den Videoaufnahmen stimmen mit den im Anklagevorwurf bezeichneten Uhrzeiten und Örtlichkeiten überein. Der Inhalt der nachgereichten Videoaufnahmen deckt sich mit den Aussagen der Beschuldigten, weshalb keine Anhaltspunkte vorlie- gen, an der Echtheit der von der Polizei erstellten Aufnahmen zu zweifeln. Die von der Verteidigung aufgestellte generelle Behauptung, die Videoaufnahmen der Stadtpolizei Zürich seien gefälscht respektive manipuliert worden, wurde auch nicht weiter substanziiert. Es ist daher von der Echtheit der nachgereichten Be- weismittel auszugehen, weshalb diese damit auch als verwertbar gelten.</w:t>
      </w:r>
    </w:p>
    <w:p>
      <w:r>
        <w:rPr>
          <w:b/>
        </w:rPr>
        <w:t>E. 3</w:t>
      </w:r>
    </w:p>
    <w:p>
      <w:r>
        <w:t>Strafzumessung im engeren Sinne</w:t>
      </w:r>
    </w:p>
    <w:p>
      <w:r>
        <w:rPr>
          <w:b/>
        </w:rPr>
        <w:t>E. 3.1</w:t>
      </w:r>
    </w:p>
    <w:p>
      <w:r>
        <w:t>Zumessungsgrundsätze Das Gericht misst die Strafe nach dem Verschulden des Täters zu. Es berück- sichtigt das Vorleben und die persönlichen Verhältnisse sowie die Wirkung der Strafe auf das Leben des Täters (Art. 47 Abs. 1 StGB). Das Bundesgericht hat in seiner jüngeren Rechtsprechung die Regeln zur Strafzumessung modifiziert, wor- auf zu verweisen ist (BGE 136 IV 55 ff., 59 ff.; m.w.H.).</w:t>
      </w:r>
    </w:p>
    <w:p>
      <w:r>
        <w:t>- 25 -</w:t>
      </w:r>
    </w:p>
    <w:p>
      <w:r>
        <w:rPr>
          <w:b/>
        </w:rPr>
        <w:t>E. 3.1.1</w:t>
      </w:r>
    </w:p>
    <w:p>
      <w:r>
        <w:t>In objektiver Hinsicht blockierten die Beschuldigte und die weiteren Demonstranten mitten in der Stadt Zürich auf einer stark befahrenen Strasse sämtlichen Verkehr und verursachten durch ihr Verhalten die notwendige Sperrung der Brücke durch die Polizei. Hierbei wirkte die Beschuldigte in massgeblicher Weise mit den anderen tatbeteiligten Personen zusammen. Die Personen befanden sich quer über die ganze Breite der Fahrbahn vor der Brücke, hielten teilweise Plakate und Transparente in den Händen und setzten sich auf den Boden, wobei Letzteres der Tatbeitrag der Beschuldigten war. Indem sich</w:t>
      </w:r>
    </w:p>
    <w:p>
      <w:r>
        <w:t>- 19 - zahlreiche Personen zur gleichen Zeit am gleichen Ort einfanden, bestand ihr Vorhaben in einem gemeinsamen Auftreten und einem, wenn auch nicht in allen Details, bewusst koordinierten Zusammenwirken. Die auf bzw. vor der Brücke anwesenden Personen agierten mithin gemeinsam und nicht etwa unabhängig voneinander und rein zufällig gleichzeitig. Die Beschuldigte ist deshalb als Mittäterin zu qualifizieren.</w:t>
      </w:r>
    </w:p>
    <w:p>
      <w:r>
        <w:rPr>
          <w:b/>
        </w:rPr>
        <w:t>E. 3.1.2</w:t>
      </w:r>
    </w:p>
    <w:p>
      <w:r>
        <w:t>Auch als die Polizei die Personen aufforderte, die Strasse zu räumen, verharrte die Beschuldigte auf der Strasse sitzend in der Gruppe der Demonstranten, bis sie von der Polizei weggeführt wurde, wobei sie den von ihr eingenommen Platz auf der Strasse nur aufgrund der erfolgten Wegführung verliess. Hierauf dauerte es noch rund 25 Minuten, bis die Strasse von der Polizei geräumt werden konnte. Als Folge der Blockade musste eine Vielzahl von Personen eine Ausweichsroute durch die tagsüber verkehrsmässig stets stark frequentierte Zürcher Innenstadt nehmen oder war gezwungen, vor Ort stehen zu bleiben. Entgegen der seitens der Beschuldigten vor Vorinstanz geäusserten Ansicht (Prot. I S. 13 f.) kann der zeitliche Mehraufwand einer solchen Alternativroute nicht einfach mittels üblicher Navigationsprogramme auf ein paar Minuten berechnet werden, führt doch die Blockade einer Hauptverkehrsachse regelmässig auch auf den ebenfalls stark frequentierten Alternativrouten aufgrund des bewirkten Zusatzverkehrs zu einer deutlichen Überlastung mit daraus resultierenden Zeitverlusten sämtlicher betroffener Verkehrsteilnehmer. Wer sich sodann im Zeitpunkt des Aufbaus der Blockade bereits in deren Nähe befindet, hat wegen des dadurch bewirkten Staus auch gar keine Möglichkeit mehr, eine Alternativroute zu wählen und ist häufig gezwungen, bis zu dessen Auflösung im Stau zu verharren. Die Blockade der Beschuldigten und ihrer Mittäter stellte mithin einen Eingriff von durchaus erheblicher Intensität in die Bewegungsfreiheit einer Vielzahl von Personen in der Innenstadt von Zürich dar.</w:t>
      </w:r>
    </w:p>
    <w:p>
      <w:r>
        <w:rPr>
          <w:b/>
        </w:rPr>
        <w:t>E. 3.2</w:t>
      </w:r>
    </w:p>
    <w:p>
      <w:r>
        <w:t>Vorgehen Nachfolgend wird zunächst die von der Beschuldigten gesetzte objektive Tatschwere und das subjektive Verschulden aufgrund der konkreten Verhältnisse beurteilt (Tatkomponente). Darauf werden weitere Aspekte dargestellt, welche keinen unmittelbaren Zusammenhang mit den verübten Taten aufweisen (Täter- komponente), und schliesslich wird eine Gesamtwürdigung vorgenommen. Es versteht sich dabei von selbst, dass der Strafzumessung derjenige Sachverhalt zugrunde zu legen ist, welcher durch das vorstehend dargelegte Beweisergebnis erstellt ist (vgl. zur Strafzumessung: MATHYS, Zur Technik der Strafzumessung, SJZ 100 [2004] Nr. 8 S. 173 ff.; ders., Leitfaden Strafzumessung, 2. Aufl., Ba- sel 2019, N 53 ff.).</w:t>
      </w:r>
    </w:p>
    <w:p>
      <w:r>
        <w:rPr>
          <w:b/>
        </w:rPr>
        <w:t>E. 3.3</w:t>
      </w:r>
    </w:p>
    <w:p>
      <w:r>
        <w:t>Unrechtmässigkeit von Mittel und Zweck</w:t>
      </w:r>
    </w:p>
    <w:p>
      <w:r>
        <w:rPr>
          <w:b/>
        </w:rPr>
        <w:t>E. 3.3.1</w:t>
      </w:r>
    </w:p>
    <w:p>
      <w:r>
        <w:t>Zur Frage der Unrechtmässigkeit des solchermassen gewählten Tatmittels ist zu bemerken, dass Fussgänger, die auf der Fahrbahn verweilen, um den motorisierten Verkehr zu behindern, gegen das Strassenverkehrsrecht ver- stossen (Art. 49 des Strassenverkehrsgesetzes [SVG; SR 741.01], Art. 46 Abs. 1 und 2 und Art. 47 Abs. 1 und 5 der Verkehrsregelverordnung [VRV; SR 741.11]), wodurch diese zu bejahen ist. Das Hindern der Verkehrsteilnehmer an der Durch- fahrt an besagter Stelle stellte den Nötigungszweck im strafrechtlichen Sinne dar und ist ebenfalls grundsätzlich als unrechtmässig zu qualifizieren.</w:t>
      </w:r>
    </w:p>
    <w:p>
      <w:r>
        <w:rPr>
          <w:b/>
        </w:rPr>
        <w:t>E. 3.3.2</w:t>
      </w:r>
    </w:p>
    <w:p>
      <w:r>
        <w:t>Somit stellt sich die Frage, ob die Unrechtmässigkeit aufgrund einer berechtigten Wahrnehmung des Meinungsäusserungs- und insbesondere des De- monstrationsrechts entfallen könnte. Hierbei ist zu berücksichtigen, dass die Or- ganisatoren der betreffenden Demonstration diese zwar in allgemeiner Art ankün- digten (vgl. Urk. 21/1 S. 3), ein genauer Ort dabei aber nicht genannt wurde. Die betroffenen Personen hatten daher keine Möglichkeit, rechtzeitig darauf zu reagieren, sondern waren in der Zürcher Innenstadt angekommen vor vollendete Tatsachen gestellt. Und selbst wenn eine ortsgenauere Ankündigung erfolgt wäre, könnte unbeteiligten Dritten nicht zugemutet werden, sich vor jeder Fahrt über mögliche spontane, unbewilligte Kundgebungen informieren zu müssen. Verglei- che mit in der Regel lange im Voraus angekündigten bewilligten Demonstrationen oder Grossveranstaltungen auf öffentlichem Raum zielen daher ins Leere. Die Zeitspanne ab der polizeilichen Aufforderung, die Strasse zu räumen bis zur Weg- führung der Beschuldigten dauerte zwar nur wenige Minuten, die gesamte Aktion dauerte ab der ersten dokumentierten Anwesenheit der Beschuldigten auf der</w:t>
      </w:r>
    </w:p>
    <w:p>
      <w:r>
        <w:t>- 21 - Fahrbahn vor der C._____ bis zur Auflösung der Blockade jedoch mehr als eine Stunde und selbst ab der polizeilichen Aufforderung, die Strasse zu räumen, dau- erte die Aktion noch rund eine halbe Stunde. Die Art und Weise, wie die Blockade aufgezogen wurde, zeigt auch, dass es geradezu deren Zweck war, möglichst viele Personen zu blockieren, um mittels einer Störung des Verkehrsregimes in der Zürcher Innenstadt letztlich eine grössere mediale Aufmerksamkeit zu erzie- len, als wenn etwa eine Kundgebung auf einem der zahlreichen grösseren Plätze in der Stadt Zürich (z.B. Sechseläutenplatz oder Helvetiaplatz) durchgeführt wor- den wäre. Der Zweck bestand mithin nicht in der Versammlung zur Kundgebung der eigenen politischen Meinung, sondern in der Beeinträchtigung der Bewe- gungsfreiheit einer Vielzahl von Personen. Hinsichtlich des Zusammenhangs zwi- schen der Blockade und dem Protestgegenstand ist dieser auch als ausgespro- chen gering zu bezeichnen, können doch die betroffenen Personen kaum stärker für den Klimawandel verantwortlich gemacht werden, als dies bei irgendeiner an- deren, in einer Industrienation lebenden Person der Fall ist. Indem die Beschul- digte und die weiteren Demonstranten die zahlreichen Geschädigten zu Objekten ihrer Aktion machten, handelten sie in durchaus verwerflicher und somit – vor dem Hintergrund der Rechtsprechung des EGMR – strafwürdiger Weise. Mit der Durchführung einer Kundgebung auf einem Platz in der Stadt Zürich hätten die verfassungs- und konventionsrechtlich geschützten Rechte der Beschuldigten und der weiteren Demonstranten problemlos wahrgenommen werden können, ohne die Persönlichkeitsrechte Dritter zu verletzen. Nur wäre die Publizitätswirkung der Aktion dann kleiner gewesen, was die Tatbeteiligten aber nicht wollten. Das Mei- nungsäusserungs- und insbesondere das Demonstrationsrecht der Beschuldigten wird durch eine Verurteilung somit nicht verletzt, womit die Unrechtmässigkeit von Handlung und Zweck gegeben ist.</w:t>
      </w:r>
    </w:p>
    <w:p>
      <w:r>
        <w:rPr>
          <w:b/>
        </w:rPr>
        <w:t>E. 3.4</w:t>
      </w:r>
    </w:p>
    <w:p>
      <w:r>
        <w:t>Fehlen von Rechtfertigungsgründen</w:t>
      </w:r>
    </w:p>
    <w:p>
      <w:r>
        <w:rPr>
          <w:b/>
        </w:rPr>
        <w:t>E. 3.4.1</w:t>
      </w:r>
    </w:p>
    <w:p>
      <w:r>
        <w:t>Hinsichtlich allfällig geltend gemachten Rechtfertigungsgründen wie die Frage eines Notstands im Sinne von Art. 17 StGB oder eines übergesetzlichen Rechtfertigungsgrunds wie die Wahrung berechtigter Interessen hielt das Bundes- gericht in einem jüngeren Entscheid überzeugend fest, dass ein in der Politik dis-</w:t>
      </w:r>
    </w:p>
    <w:p>
      <w:r>
        <w:t>- 22 - kutierter Klimanotstand nicht deckungsgleich ist mit strafrechtlichem Notstand gemäss Art. 17 StGB. Sind die engen Voraussetzungen dieser Bestimmung, namentlich eine unmittelbare Gefahr für bestimmte Individualrechtsgüter, zu deren Schutz kein anderes Mittel als die Notstandshandlung zur Verfügung steht, nicht erfüllt, entfällt eine Rechtfertigung für strafbares Verhalten. Die Klimaerwärmung kann nicht mit dem Rechtsbegriff der unmittelbaren Gefahr im Sinne von Art. 17 StGB gleichgesetzt werden (Urteil des Bundesgerichts 6B_1298/2020 vom 28. September 2021 in Pra 110 [2021] Nr. 134, Ingress sowie E. 3. mit Verweisen). Die Klimaerwärmung ist keine Naturkatastrophe im Sinne einer unmittelbaren Gefahr nach Art. 17 StGB. Mit der Abwehr einer Gefahr, die jedermann auf dem Globus treffen könnte, wird ein kollektives Rechtsgut geschützt, aber nicht ein individuelles Rechtsgut gemäss Art. 17 StGB. Der rechtfertigende Notstand im Sinne von Art. 17 StGB betrifft Handlungen, die begangen werden, wenn es für den Täter nicht möglich ist, zu handeln, ohne eine grundsätzlich strafbare Handlung zu begehen (vgl. Botschaft vom 21. September 1998, BBl 1999 1979, Ziff. 212.33). Es handelt sich nicht um einen übergesetzlichen Rechtfertigungsgrund wie die Wahrung überwiegender Interessen (vgl. auch BGE 129 IV 6 E. 3). Art. 17 StGB richtet sich somit nicht darauf, grundsätzlich strafbare Verhaltensweisen rechtmässig erscheinen zu lassen, weil der Täter der Ansicht ist, handeln zu müssen, um zu schützen, was er als ein rechtmässiges oder höhergewichtiges Interesse betrachtet, sondern betrifft die spezifische Situation, in der dieser sich zufällig mit einer Gefahr konfrontiert sieht, die kurzfristig eintreten muss und er wählt, ein Rechtsgut zu opfern, um sie abzuwenden. Demzufolge muss die Gefahr konkret und dringend das betroffene Rechtsgut bedrohen und nicht nur in einem ungewissen Zeithorizont auf unbestimmten Gütern lasten. Das Vorliegen eines rechtfertigenden Notstands im Sinne von Art. 17 StGB ist damit zu verneinen.</w:t>
      </w:r>
    </w:p>
    <w:p>
      <w:r>
        <w:rPr>
          <w:b/>
        </w:rPr>
        <w:t>E. 3.4.2</w:t>
      </w:r>
    </w:p>
    <w:p>
      <w:r>
        <w:t>Im Übrigen ist anzumerken, dass die Rechtsprechung des Bundesge- richts das Bestehen gewisser übergesetzlicher, das heisst nicht vom StGB gere- gelter, Rechtfertigungsgründe bejaht. Es handelt sich namentlich um die Wahrung legitimer Interessen (BGE 146 IV 297 E. 2.2.1; vgl. BGE 129 IV 6 E. 3.3; Urteil des Bundesgerichts 6B_960/2017 vom 2. Mai 2018 E. 3.2). Ein eventueller über-</w:t>
      </w:r>
    </w:p>
    <w:p>
      <w:r>
        <w:t>- 23 - gesetzlicher Rechtfertigungsgrund muss restriktiv ausgelegt und besonders stren- gen Anforderungen bei der Würdigung der Subsidiarität und der Verhältnismäs- sigkeit unterworfen werden. Die Voraussetzungen dafür sind erfüllt, wenn die rechtswidrige Tat nicht bloss ein notwendiges und geeignetes Mittel für den Schutz legitimer Interessen von einer Bedeutung ist, die klar jene, der von der verletzten Bestimmung geschützten Rechtsgüter übertrifft, sondern dass diese Tat das einzige Mittel für diesen Schutz darstellt. Diese Voraussetzungen sind ku- mulativ zu erfüllen (Urteil des Bundesgerichts 6B_1295/2020 vom 26. Mai 2021 in Pra 110 (2021) Nr. 133, Ingress sowie E. 2.3.4., E. 2.7., mit weiteren Verwei- sen). Die Beschuldigte hatte für ihre Mitwirkung an der inkriminierten Aktion kei- nen unmittelbaren, individuellen Notstandsgrund vorzuweisen und die Blockade war auch nicht geeignet, die Klimakrise zu beheben. Das Klima hat sich durch die Aktion der Beschuldigten nicht in geringster Weise verbessert. Im Gegenteil, in- dem man andere Leute ärgert, schikaniert und nötigt, gewinnt man niemanden für eigene Anliegen. Sodann hätten die Demonstranten auch – mit dem Bundesge- richt – eine Schar anderer, rechtmässiger Methoden einsetzen können, um ihr Ziel zu erreichen, insbesondere bewilligte Demonstrationen, Märsche, Interventio- nen in den Medien oder in der Kultur. Auch ein übergesetzlicher Rechtfertigungs- grund ist damit zu verneinen. Vor dem Hintergrund der vorstehend dargelegten Rechtsprechung des Bundesgerichts mit Einbezug der Rechtsprechung des EGMR kann darauf verzichtet werden, auf die von der Verteidigung einzeln darge- stellten Urteile des EGMR einzugehen.</w:t>
      </w:r>
    </w:p>
    <w:p>
      <w:r>
        <w:rPr>
          <w:b/>
        </w:rPr>
        <w:t>E. 3.5</w:t>
      </w:r>
    </w:p>
    <w:p>
      <w:r>
        <w:t>Fazit Die Beschuldigte ist somit der Nötigung im Sinne von Art. 181 StGB schuldig zu sprechen. V. Strafzumessung 1. Ausgangslage</w:t>
      </w:r>
    </w:p>
    <w:p>
      <w:r>
        <w:rPr>
          <w:b/>
        </w:rPr>
        <w:t>E. 4</w:t>
      </w:r>
    </w:p>
    <w:p>
      <w:r>
        <w:t>Tatkomponente</w:t>
      </w:r>
    </w:p>
    <w:p>
      <w:r>
        <w:rPr>
          <w:b/>
        </w:rPr>
        <w:t>E. 4.1</w:t>
      </w:r>
    </w:p>
    <w:p>
      <w:r>
        <w:t>Objektive Tatschwere Bezüglich der objektiven Tatschwere ist zu berücksichtigen, dass eine wichtige Verkehrsachse der Stadt Zürich während einer nicht unerheblichen Zeitdauer gänzlich versperrt wurde. Die Sitzblockade war von Anfang an darauf angelegt, dass sie möglichst lange dauerte, damit der Verkehr möglichst lange behindert wurde. Die Intensität der Nötigung war für die einzelnen Geschädigten nicht sehr hoch, doch war eine Vielzahl von Personen davon betroffen. Die Demonstration verlief aber gewaltfrei und die Beschuldigte nahm dabei selbst keine tragende Rolle innerhalb der Gruppe ein und zeigte auch keine besondere kriminelle Ener- gie (z.B. Anketten an Gegenstände oder andere Personen, Festkleben etc.), son- dern liess sich letztlich widerstandslos von der Polizei abführen. Das Verschulden ist in objektiver Hinsicht insgesamt als leicht einzustufen.</w:t>
      </w:r>
    </w:p>
    <w:p>
      <w:r>
        <w:rPr>
          <w:b/>
        </w:rPr>
        <w:t>E. 4.2</w:t>
      </w:r>
    </w:p>
    <w:p>
      <w:r>
        <w:t>Subjektives Verschulden In subjektiver Hinsicht ist zunächst festzustellen, dass die Beschuldigte mit direk- tem Vorsatz handelte, so dass keine Strafminderung wegen Eventualvorsatz er- folgen kann. Sie handelte aber nicht aus egoistischen Beweggründen, sondern ihr Motiv lag vielmehr in ihrer Sorge um die Umwelt, um die eigene Zukunft wie auch</w:t>
      </w:r>
    </w:p>
    <w:p>
      <w:r>
        <w:t>- 26 - die Zukunft einer ganzen Generation, was durchaus nachvollziehbar ist. Zugute- zuhalten ist der Beschuldigten sodann auch ihr im Tatzeitpunk relativ junges Alter, offenbar verbunden mit einer gewissen Naivität. Darauf lässt auch das seltsame Demokratie- und Rechtsstaatsverständnis der gesamten Bewegung, der sie sich anschloss, schliessen: Eine zahlenmässig überschaubare Gruppe nimmt für sich in Anspruch, tausende Unbeteiligter in ihrer Handlungsfreiheit einzuschränken, um auf ein – an sich grundsätzlich existentes und sehr wichtiges – Problem hinzu- weisen, obwohl dies auch mit weit weniger drastischen Mitteln möglich gewesen wäre. Auch in subjektiver Hinsicht ist von einem leichten Verschulden auszuge- hen, wobei die objektive Tatschwere durch das subjektive Verschulden noch et- was relativiert wird.</w:t>
      </w:r>
    </w:p>
    <w:p>
      <w:r>
        <w:rPr>
          <w:b/>
        </w:rPr>
        <w:t>E. 4.3</w:t>
      </w:r>
    </w:p>
    <w:p>
      <w:r>
        <w:t>Fazit Sowohl in objektiver wie in subjektiver Hinsicht ist innerhalb des bis zu einer Frei- heitsstrafe von 3 Jahren reichenden Strafrahmens von einem leichten Verschul- den auszugehen, wobei die objektive Tatschwere durch das subjektive Verschul- den etwas relativiert wird. Erschienen in objektiver Hinsicht 30 Tagessätze Gelds- trafe angemessen, ist unter Mitberücksichtigung auch der subjektiven Zumes- sungsgründe von einer angemessenen Strafe von 20 Tagessätzen Geldstrafe auszugehen.</w:t>
      </w:r>
    </w:p>
    <w:p>
      <w:r>
        <w:rPr>
          <w:b/>
        </w:rPr>
        <w:t>E. 5</w:t>
      </w:r>
    </w:p>
    <w:p>
      <w:r>
        <w:t>Täterkomponente</w:t>
      </w:r>
    </w:p>
    <w:p>
      <w:r>
        <w:rPr>
          <w:b/>
        </w:rPr>
        <w:t>E. 5.1</w:t>
      </w:r>
    </w:p>
    <w:p>
      <w:r>
        <w:t>Persönliche Verhältnisse/Vorleben Die Beschuldigte verweigerte sowohl in der Untersuchung wie auch vor Vorinstanz grundsätzlich die Aussagen (Urk. 2/2 S. 4; Prot. I S. 6). Bekannt sind letztlich nur Alter, Personalien und Wohnort der Beschuldigten, sowie – aus ihrer abschliessenden Stellungnahme vor Vorinstanz –, dass sie bei ihren Eltern als drittes Kind einer Bauernfamilie auf einem Bauernbetrieb aufwuchs und später ein Studium aufnahm, wobei sie sich weder zur Studienrichtung noch zum Stand des Studiums äusserte (Prot. I S. 11 ff.). Auch anlässlich der Berufungsverhandlung hat die Beschuldigte keine Aussagen zu ihrer Person gemacht (Prot. II S. 8 ff.).</w:t>
      </w:r>
    </w:p>
    <w:p>
      <w:r>
        <w:t>- 27 - Die persönlichen Verhältnisse und das Vorleben der Beschuldigten bleiben zu- messungsneutral.</w:t>
      </w:r>
    </w:p>
    <w:p>
      <w:r>
        <w:rPr>
          <w:b/>
        </w:rPr>
        <w:t>E. 5.2</w:t>
      </w:r>
    </w:p>
    <w:p>
      <w:r>
        <w:t>Vorstrafen Die Beschuldigte weist keine Vorstrafen auf (Urk. 5/1), was zumessungsneutral bleibt.</w:t>
      </w:r>
    </w:p>
    <w:p>
      <w:r>
        <w:rPr>
          <w:b/>
        </w:rPr>
        <w:t>E. 5.3</w:t>
      </w:r>
    </w:p>
    <w:p>
      <w:r>
        <w:t>Geständnis/Reue und Einsicht Die Beschuldigte bestreitet den äusseren Sachverhalt nicht, ist aber von der Rechtmässigkeit ihres Vorgehens völlig überzeugt. Das Nichtbestreiten des äus- seren Sachverhalts erleichterte auch das Verfahren in keiner Weise. Irgendwel- che Reue und Einsicht sind zudem nicht gegeben. Es ist ihr daher unter diesem Titel nichts in strafmindernder Hinsicht zugutezuhalten.</w:t>
      </w:r>
    </w:p>
    <w:p>
      <w:r>
        <w:rPr>
          <w:b/>
        </w:rPr>
        <w:t>E. 5.4</w:t>
      </w:r>
    </w:p>
    <w:p>
      <w:r>
        <w:t>Fazit bezüglich Täterkomponente Die Täterkomponente bleibt insgesamt zumessungsneutral.</w:t>
      </w:r>
    </w:p>
    <w:p>
      <w:r>
        <w:rPr>
          <w:b/>
        </w:rPr>
        <w:t>E. 6</w:t>
      </w:r>
    </w:p>
    <w:p>
      <w:r>
        <w:t>Gesamtwürdigung</w:t>
      </w:r>
    </w:p>
    <w:p>
      <w:r>
        <w:rPr>
          <w:b/>
        </w:rPr>
        <w:t>E. 6.1</w:t>
      </w:r>
    </w:p>
    <w:p>
      <w:r>
        <w:t>Strafhöhe Die Beschuldigte ist dementsprechend mit einer Geldstrafe von 20 Tagessätzen zu bestrafen.</w:t>
      </w:r>
    </w:p>
    <w:p>
      <w:r>
        <w:rPr>
          <w:b/>
        </w:rPr>
        <w:t>E. 6.2</w:t>
      </w:r>
    </w:p>
    <w:p>
      <w:r>
        <w:t>Anrechnung von Untersuchungshaft Die Beschuldigte befand sich nach ihrer Festnahme bis am 7. Oktober 2021, mit- hin während 2 Tagen in Untersuchungshaft. Die erstandene Haft ist gemäss Art. 51 StGB an die ausgesprochene Geldstrafe als geleistet anzurechnen.</w:t>
      </w:r>
    </w:p>
    <w:p>
      <w:r>
        <w:rPr>
          <w:b/>
        </w:rPr>
        <w:t>E. 6.3</w:t>
      </w:r>
    </w:p>
    <w:p>
      <w:r>
        <w:t>Höhe der Tagessätze Nachdem nichts über die finanziellen Verhältnisse der Beschuldigten bekannt ist (vgl. a. Urk. 5/4), ist die Tagessatzhöhe auf Fr. 30.– festzulegen.</w:t>
      </w:r>
    </w:p>
    <w:p>
      <w:r>
        <w:t>- 28 - VI. Vollzug 1. Das Gericht schiebt den Vollzug einer Geldstrafe oder einer Freiheitsstrafe von höchstens zwei Jahren in der Regel auf, wenn eine unbedingte Strafe nicht notwendig erscheint, um den Täter von der Begehung weiterer Verbrechen oder Vergehen abzuhalten (Art. 42 Abs. 1 StGB). Demzufolge ist der Strafaufschub die Regel, von der grundsätzlich nur bei ungünstiger Prognose abgewichen werden darf (BGE 135 IV 180 E. 2.1; 134 IV 1 E. 4.2.2; Urteile des Bundesgerichts 6B_1153/2021 vom 29. März 2023 E. 2.3.4; 6B_134/2021 vom 20. Juni 2022 E. 3.2; 6B_1/2020 vom 6. Mai 2021 E. 5.3; je mit Hinweisen). Die Prüfung der Be- währungsaussichten des Täters ist anhand einer Gesamtwürdigung aller wesentli- chen Umstände vorzunehmen. In die Beurteilung miteinzubeziehen sind nebst den Tatumständen namentlich das Vorleben und der Leumund sowie alle weite- ren Tatsachen, die gültige Schlüsse auf den Charakter des Täters und die Aus- sichten seiner Bewährung zulassen. Relevante Prognosekriterien sind insbeson- dere die strafrechtliche Vorbelastung (BGE 144 IV 277 E. 3.2; 135 IV 180 E. 2.1; 134 IV 1 E. 4.2.1; Urteile des Bundesgerichts 6B_1153/2021 vom 29. März 2023 E. 2.3.4; 6B_881/2021 vom 27. Juni 2022 E. 3.4; 6B_134/2021 vom 20. Juni 2022 E. 3.2; je mit Hinweisen). Einschlägige Vorstrafen sind bei der Prognosestellung erheblich zu gewichten; sie schliessen den bedingten Vollzug aber nicht notwen- dig aus (Urteile des Bundesgerichts 6B_1153/2021 vom 29. März 2023 E. 2.3.4; 6B_881/2021 vom 27. Juni 2022 E. 3.4; 6B_1213/2020 vom 30. September 2021 E. 2.2; 6B_1300/2020 vom 2. September 2021 E. 3.3.3; je mit Hinweisen). Voraussetzung in objektiver Hinsicht ist, dass eine Geldstrafe oder eine Freiheits- strafe von höchstens zwei Jahren ausgesprochen wird. In subjektiver Hinsicht wird das Fehlen einer ungünstigen Prognose vorausgesetzt; die günstige Pro- gnose wird vermutet, kann aber widerlegt werden (HEIMGARTNER, in: Donatsch [Hrsg.], StGB/JStG Kommentar, 21. Aufl. 2022, N 6 zu Art. 42 StGB). Schiebt das Gericht den Vollzug einer Strafe ganz oder teilweise auf, so bestimmt es dem Ver- urteilten eine Probezeit von zwei bis fünf Jahren (Art. 44 Abs. 1 StGB). 2. Nachdem bei der nicht vorbestraften Beschuldigten als sog. Ersttäterin eine gute Prognose zu vermuten und anzunehmen ist, sie lasse sich durch die Aus-</w:t>
      </w:r>
    </w:p>
    <w:p>
      <w:r>
        <w:t>- 29 - sprechung einer bedingten Strafe von der Begehung weiterer Straftaten in genü- gendem Masse abschrecken, ist der Vollzug der Geldstrafe aufzuschieben, unter Ansetzung einer Probezeit von 2 Jahren. VII. Kosten- und Entschädigungsfolgen 1. Erstinstanzliche Kosten und Untersuchungskosten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