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SB230018 vom 14. August 2023</w:t>
      </w:r>
    </w:p>
    <w:p>
      <w:r>
        <w:t>ZH Obergericht, 2023-08-14, DE</w:t>
      </w:r>
    </w:p>
    <w:p>
      <w:r>
        <w:rPr>
          <w:b/>
        </w:rPr>
        <w:t xml:space="preserve">Quelle: </w:t>
      </w:r>
      <w:r>
        <w:t>https://mcp.opencaselaw.ch/entscheid/zh_obergericht_SB230018</w:t>
      </w:r>
    </w:p>
    <w:p>
      <w:r>
        <w:t>FR: ZH_OBERGERICHT SB230018 du 14 août 2023</w:t>
      </w:r>
    </w:p>
    <w:p>
      <w:r>
        <w:t>IT: ZH_OBERGERICHT SB230018 del 14 agosto 2023</w:t>
      </w:r>
    </w:p>
    <w:p>
      <w:pPr>
        <w:pStyle w:val="Heading2"/>
      </w:pPr>
      <w:r>
        <w:t>Erwägungen</w:t>
      </w:r>
    </w:p>
    <w:p>
      <w:r>
        <w:rPr>
          <w:b/>
        </w:rPr>
        <w:t>E. 1</w:t>
      </w:r>
    </w:p>
    <w:p>
      <w:r>
        <w:t>Verfahrensgang Der Verfahrensgang bis zum erstinstanzlichen Urteil ergibt sich aus dem ange- fochtenen Entscheid (Urk. 28 E. I.). Der Beschuldigte wurde von der Vorinstanz am 31. August 2022 gemäss dem eingangs wiederholten Urteilsdispositiv schul- dig gesprochen und bestraft (Urk. 28 S. 22 ff.). Innert Frist liess er Berufung an- melden und erklären (Urk. 23 und 30; vgl. dazu auch Urk. 27/2). Mit Verfügung vom 27. Januar 2023 ging die Berufungserklärung an die Staatsanwaltschaft und wurde dieser Frist angesetzt, um zu erklären, ob Anschlussberufung erhoben wird, oder um begründet ein Nichteintreten auf die Berufung zu beantragen. Gleichzeitig wurde dem Beschuldigten Frist angesetzt, um das "Datenerfassungs- blatt" sowie diverse Unterlagen zu seinen finanziellen Verhältnissen einzureichen. Dabei wurde er auf sein Recht, die Aussage zu verweigern bzw. die eingeforder-</w:t>
      </w:r>
    </w:p>
    <w:p>
      <w:r>
        <w:t>- 4 - ten Unterlagen nicht einzureichen, hingewiesen (Urk. 32). Die Staatsanwaltschaft verzichtete auf eine Anschlussberufung und beantragte die Bestätigung des vo- rinstanzlichen Entscheids (Urk. 34). Am 14. August 2023 fand die Berufungsver- handlung statt. An dieser ist der Beschuldigte in Begleitung seiner erbetenen Ver- teidigung erschienen (Prot. II S. 3).</w:t>
      </w:r>
    </w:p>
    <w:p>
      <w:r>
        <w:rPr>
          <w:b/>
        </w:rPr>
        <w:t>E. 1.1</w:t>
      </w:r>
    </w:p>
    <w:p>
      <w:r>
        <w:t>Bei einem Freispruch sind die Kosten grundsätzlich durch den Staat zu tra- gen (Art. 423 StPO). Eine ausnahmsweise Kostentragung durch den Beschuldig- ten ist nur möglich, sofern er die Einleitung des Verfahrens rechtswidrig und schuldhaft bewirkt oder dessen Durchführung erschwert hat (Art. 426 Abs. 2 StPO). Die Kosten des Berufungsverfahrens sind den Parteien nach Massgabe ihres Obsiegens und Unterliegens aufzuerlegen (Art. 428 Abs. 1 StPO).</w:t>
      </w:r>
    </w:p>
    <w:p>
      <w:r>
        <w:rPr>
          <w:b/>
        </w:rPr>
        <w:t>E. 1.2</w:t>
      </w:r>
    </w:p>
    <w:p>
      <w:r>
        <w:t>Für das Berufungsverfahren fällt zufolge des heutigen Freispruches die Gerichtsgebühr ausser Ansatz. Die Kosten für das Vorverfahren ergeben sich oh- ne Weiteres aus den Akten (Urk. 12). Die Gerichtsgebühr für das erstinstanzliche Verfahren von Fr. 800.– ist sodann in Anwendung von § 14 GebV OG angemes- sen. Die erstinstanzliche Kostenfestsetzung ist damit zu bestätigen. Angesichts des heutigen Prozessausganges sind die Kosten der Untersuchung sowie des erst- und zweitinstanzlichen Verfahrens definitiv auf die Gerichtskasse zu nehmen, nachdem dem Beschuldigten nicht vorgeworfen werden kann, das Verfahren in rechtswidriger und schuldhafter Weise verursacht oder dessen Durchführung erschwert zu haben. 2. Entschädigung Ausgehend von der eingereichten Honorarnote (Urk. 41), deren dort vermerkte Aufwendungen sich als grundsätzlich angemessen erweisen, wobei für die Haupt- verhandlung 3.75 Stunden Aufwand antizipiert wurden, was sich angesichts der Verhandlungsdauer von rund eineinhalb Stunden als zu lange erweist, ist dem Beschuldigten für seine erbetene Verteidigung unter Hinzurechnung der Mehrwertsteuer für das gesamte Verfahren eine Prozessentschädigung von</w:t>
      </w:r>
    </w:p>
    <w:p>
      <w:r>
        <w:t>- 9 - insgesamt Fr. 7'300.– (inkl. Barauslagen und MwSt.) aus der Gerichtkasse zuzusprechen (§ 17 Abs. 1 lit. a und § 18 Abs. 1 AnwGebV).</w:t>
      </w:r>
    </w:p>
    <w:p>
      <w:r>
        <w:rPr>
          <w:b/>
        </w:rPr>
        <w:t>E. 2</w:t>
      </w:r>
    </w:p>
    <w:p>
      <w:r>
        <w:t>Umfang der Berufung Das vorinstanzliche Urteil wurde vollumfänglich angefochten (Urk. 40 S. 4; Prot. II S. 5). Es gilt das Verschlechterungsverbot (Art. 391 Abs. 2 StPO).</w:t>
      </w:r>
    </w:p>
    <w:p>
      <w:r>
        <w:rPr>
          <w:b/>
        </w:rPr>
        <w:t>E. 2.1</w:t>
      </w:r>
    </w:p>
    <w:p>
      <w:r>
        <w:t>Vorab kann auf die Ausführungen der Vorinstanz zu den Grundsätzen der Beweiswürdigung vollumfänglich verwiesen werden (Urk. 28 E. III.3.1.). Wie die Vorinstanz sodann richtig ausführte, stützt sich der Anklagevorwurf vorliegend im Wesentlichen auf den Polizeirapport vom 4. Oktober 2021, den polizeilichen Fo- tobogen sowie auf den polizeilichen Wahrnehmungsbericht vom 4. Oktober 2021 (vgl. Urk. 28 E. III. 3.2.).</w:t>
      </w:r>
    </w:p>
    <w:p>
      <w:r>
        <w:rPr>
          <w:b/>
        </w:rPr>
        <w:t>E. 2.2</w:t>
      </w:r>
    </w:p>
    <w:p>
      <w:r>
        <w:t>Gemäss Art. 145 StPO kann die Strafbehörde eine einzuvernehmende Per- son einladen, an Stelle einer Einvernahme oder zu ihrer Ergänzung einen schrift-</w:t>
      </w:r>
    </w:p>
    <w:p>
      <w:r>
        <w:t>- 6 - lichen Bericht abzugeben. Das Recht der Parteien, bei Beweiserhebungen an- wesend zu sein und der einvernommenen Person Fragen zu stellen kann bei schriftlichen Berichten nicht unmittelbar gewahrt werden (Urteil des Bundesge- richts 6B_161/2021 und 6B_1169/2021 vom 21. April 2023 E. 5.2.5.). Dies gilt nicht nur für den polizeilichen Wahrnehmungsbericht sondern auch für den Poli- zeirapport. Deren belastende Verwertung ist daher gemäss Praxis und Lehre zu- rückhaltend anzuwenden. Sofern die berechtigte Person auf ihre Rechte nicht ausdrücklich verzichtet, ist ihr daher Gelegenheit zu geben, sich zu den schriftli- chen Ausführungen zu äussern und – gegebenenfalls in einer nachfolgenden mündlichen Vernehmung – Ergänzungsfragen zu stellen (Urteil des Bundesge- richts 6B_161/2021 und 6B_1169/2021 vom 21. April 2023 E. 5.2.5.; Urteil des Bundesgerichts 6B_1057/2013 vom 19. Mai 2014 E. 2.3. f.). Ansonsten ist der Beweis unverwertbar (BSK StPO-HÄRING, Art. 145 N 11 m.w.H.). Sofern kein ausdrücklicher Verzicht vorliegt, kann auch noch anlässlich des Berufungsverfah- rens ein entsprechender Beweisantrag gestellt werden (Urteil des Bundesgerichts 6B_510/2013 vom 3. März 2014 E. 1.3.2. mit Verweis; Urteil des Bundesgerichts 6B_1057/2013 vom 19. Mai 2014 E. 2.3.).</w:t>
      </w:r>
    </w:p>
    <w:p>
      <w:r>
        <w:rPr>
          <w:b/>
        </w:rPr>
        <w:t>E. 2.3</w:t>
      </w:r>
    </w:p>
    <w:p>
      <w:r>
        <w:t>Die Verteidigung bzw. der Beschuldigte verzichtete vorliegend bisher nie ausdrücklich auf eine Befragung der Polizeibeamten, sondern rügte bereits vor Vorinstanz die Unverwertbarkeit des Polizeirapports sowie des Wahrnehmungs- berichts (Urk. 21 N 13). In ihrer Eingabe vom 18. Juli 2022 führte die Verteidigung lediglich aus, derzeit auf Beweisanträge zu verzichten, sich solche aber für einen späteren Zeitpunkt vorzubehalten (Urk. 18). Sodann führte sie den Beweis unter Hinweis auf die nemo-tenetur-Problematik in Nachachtung der anwaltlichen Sorg- faltspflicht vor Vorinstanz ausdrücklich an (Urk. 21 N 14). Sie wiederholte ihre Rü- ge der Unverwertbarkeit anlässlich der Berufungsverhandlung (Urk. 40 N 11) und stellte sodann einen diesbezüglichen Antrag auf Beweisergänzung (Prot. II S. 5). Diesem wäre vorliegend statt zu geben. In Anbetracht der Tatsache, dass der Beschuldigte die ihm vorgeworfene Nötigungshandlung am 4. Oktober 2021 be- gangen haben soll, ist jedoch nicht zu erwarten, dass sich die involvierten Polizei- beamten rund zwei Jahre später unter Hunderten von Demonstranten noch an den Beschuldigten erinnern und konkrete hierzu interessierende Aussagen ma-</w:t>
      </w:r>
    </w:p>
    <w:p>
      <w:r>
        <w:t>- 7 - chen können. Daher kann die Beweisabnahme vorliegend ohne weiteres unter- bleiben. Somit sind weder der Polizeirapport noch der Wahrnehmungsbericht zu- lasten des Beschuldigten verwertbar.</w:t>
      </w:r>
    </w:p>
    <w:p>
      <w:r>
        <w:rPr>
          <w:b/>
        </w:rPr>
        <w:t>E. 2.4</w:t>
      </w:r>
    </w:p>
    <w:p>
      <w:r>
        <w:t>Weiter als Beweismittel im Recht liegt – wie bereits ausgeführt – ein sieben Fotografien umfassender Fotobogen (Urk. 4), welcher dem Beschuldigten anläss- lich seiner staatsanwaltschaftlichen Einvernahme vom 12. April 2022 vorgehalten wurde (vgl. Urk. 3 F/A 7), womit dieser grundsätzlich verwertbar ist.</w:t>
      </w:r>
    </w:p>
    <w:p>
      <w:r>
        <w:rPr>
          <w:b/>
        </w:rPr>
        <w:t>E. 3</w:t>
      </w:r>
    </w:p>
    <w:p>
      <w:r>
        <w:t>Genugtuung</w:t>
      </w:r>
    </w:p>
    <w:p>
      <w:r>
        <w:rPr>
          <w:b/>
        </w:rPr>
        <w:t>E. 3.1</w:t>
      </w:r>
    </w:p>
    <w:p>
      <w:r>
        <w:t>Der Beschuldigte lässt die Zusprechung einer Genugtuung in der Höhe von Fr. 400.– für die zu Unrecht erlittene Haft beantragen (Urk. 40 N 36). Wird das Verfahren eingestellt oder die beschuldigte Person freigesprochen, hat sie ge- mäss Art. 429 Abs. 1 lit. c StPO Anspruch auf Genugtuung für besonders schwere Verletzungen ihrer persönlichen Verhältnisse, insbesondere bei Freiheitsentzug. Die Festlegung der Genugtuungssumme beruht auf richterlichem Ermessen, wo- bei bei der Ausübung dieses Ermessens den Besonderheiten des Einzelfalles entscheidendes Gewicht zukommt. Sofern nicht aussergewöhnliche Umstände vorliegen, die eine höhere oder eine geringere Entschädigung rechtfertigen, er- achtet das Bundesgericht bei kürzeren Freiheitsentzügen Fr. 200.– pro Tag als angemessene Genugtuung. Bei längerer Untersuchungshaft (von mehreren Mo- naten Dauer) ist der Tagessatz in der Regel zu senken, da die erste Haftzeit be- sonders erschwerend ins Gewicht fällt (Urteile des Bundesgerichtes 6B_111/2012 vom 15. Mai 2012 E. 4.2 und 6B_196/2014 vom 5. Juni 2014 E. 1.2).</w:t>
      </w:r>
    </w:p>
    <w:p>
      <w:r>
        <w:rPr>
          <w:b/>
        </w:rPr>
        <w:t>E. 3.2</w:t>
      </w:r>
    </w:p>
    <w:p>
      <w:r>
        <w:t>Der Beschuldigte befand sich vom 4. Oktober 2021, 14:40 Uhr, bis zum</w:t>
      </w:r>
    </w:p>
    <w:p>
      <w:r>
        <w:rPr>
          <w:b/>
        </w:rPr>
        <w:t>E. 3.3</w:t>
      </w:r>
    </w:p>
    <w:p>
      <w:r>
        <w:t>Im Gegensatz zu vergleichbaren Fällen ist aus den vorhandenen Beweis- mitteln somit nicht ersichtlich, dass der Beschuldigte die B._____-strasse blockier- te bzw. an der Blockade mitwirkte. Es bleibt vorliegend offen, ob und falls ja, wie lange – abgesehen vom erstellten einmaligen Überqueren der Strasse, was für sich betrachtet noch keine Blockadehandlung darstellt – der Beschuldigte sich überhaupt auf der blockierten Fahrbahn befand. Im Unterschied zu vergleichbaren Fällen ist damit seine Anwesenheit auf der Fahrbahn, geschweige denn eine</w:t>
      </w:r>
    </w:p>
    <w:p>
      <w:r>
        <w:t>- 8 - Blockadehandlung auf dieser, nicht zeitlich bestimmt erstellbar (vgl. etwa OGer ZH SB220276 vom 19. September 2022 E. II. 2.3. f.). Folglich ist der Beschuldigte in dubio pro reo vom gegen ihn erhobenen Tatvorwurf der Nötigung freizuspre- chen. Daher erübrigen sich auch Ausführungen zur rechtlichen Würdigung. III. Kosten, Entschädigung, Genugtuung 1. Kosten</w:t>
      </w:r>
    </w:p>
    <w:p>
      <w:r>
        <w:rPr>
          <w:b/>
        </w:rPr>
        <w:t>E. 6</w:t>
      </w:r>
    </w:p>
    <w:p>
      <w:r>
        <w:t>Dem Beschuldigten wird für ungerechtfertigt erlittene Haft eine Genugtuung in Höhe von Fr. 400.– aus der Gerichtskasse zugesprochen.</w:t>
      </w:r>
    </w:p>
    <w:p>
      <w:r>
        <w:rPr>
          <w:b/>
        </w:rPr>
        <w:t>E. 7</w:t>
      </w:r>
    </w:p>
    <w:p>
      <w:r>
        <w:t>Mündliche Eröffnung und schriftliche Mitteilung im Dispositiv an − die Verteidigung im Doppel für sich und zuhanden des Beschuldigten (übergeben) − die Staatsanwaltschaft Zürich-Sihl sowie in vollständiger Ausfertigung an − die Verteidigung im Doppel für sich und zuhanden des Beschuldigten − die Staatsanwaltschaft Zürich-Sihl und nach unbenütztem Ablauf der Rechtsmittelfrist bzw. Erledigung allfälli- ger Rechtsmittel an − die Vorinstanz − die Koordinationsstelle VOSTRA/DNA zur Entfernung der Daten ge- mäss Art. 32 Abs. 1 StReG mittels Kopie von Urk. 29 − die Kantonspolizei Zürich, KDM-ZD, mit separatem Schreiben (§ 54a Abs. 1 PolG)</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- 11 - Die Beschwerdelegitimation und die weiteren Beschwerdevoraussetzungen richten sich nach den massgeblichen Bestimmungen des Bundesgerichts- gesetzes. Obergericht des Kantons Zürich I. Strafkammer Zürich, 14. August 2023 Der Präsident: Die Gerichtsschreiberin: lic. iur. S. Volken MLaw A. Blaser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