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SB220578 vom 21. Juli 2023</w:t>
      </w:r>
    </w:p>
    <w:p>
      <w:r>
        <w:t>ZH Obergericht, 2023-07-21, DE</w:t>
      </w:r>
    </w:p>
    <w:p>
      <w:r>
        <w:rPr>
          <w:b/>
        </w:rPr>
        <w:t xml:space="preserve">Quelle: </w:t>
      </w:r>
      <w:r>
        <w:t>https://mcp.opencaselaw.ch/entscheid/zh_obergericht_SB220578</w:t>
      </w:r>
    </w:p>
    <w:p>
      <w:r>
        <w:t>FR: ZH_OBERGERICHT SB220578 du 21 juillet 2023</w:t>
      </w:r>
    </w:p>
    <w:p>
      <w:r>
        <w:t>IT: ZH_OBERGERICHT SB220578 del 21 luglio 2023</w:t>
      </w:r>
    </w:p>
    <w:p>
      <w:pPr>
        <w:pStyle w:val="Heading2"/>
      </w:pPr>
      <w:r>
        <w:t>Erwägungen</w:t>
      </w:r>
    </w:p>
    <w:p>
      <w:r>
        <w:rPr>
          <w:b/>
        </w:rPr>
        <w:t>E. 1</w:t>
      </w:r>
    </w:p>
    <w:p>
      <w:r>
        <w:t>Verfahrensgang</w:t>
      </w:r>
    </w:p>
    <w:p>
      <w:r>
        <w:rPr>
          <w:b/>
        </w:rPr>
        <w:t>E. 1.1</w:t>
      </w:r>
    </w:p>
    <w:p>
      <w:r>
        <w:t>Die Kostenfestsetzung ist zu bestätigen (Dispositivziffer 8). Ausgangs- gemäss hat der Beschuldigte zudem 2/3 der Kosten zu tragen und 1/3 sind auf die Gerichtskasse zu nehmen.</w:t>
      </w:r>
    </w:p>
    <w:p>
      <w:r>
        <w:rPr>
          <w:b/>
        </w:rPr>
        <w:t>E. 1.2</w:t>
      </w:r>
    </w:p>
    <w:p>
      <w:r>
        <w:t>Der Beschuldigte beantragt zudem eine angemessene Entschädigung (Art. 429 StPO). Er hat seine Entschädigungsforderung jedoch nicht beziffert. Vielmehr macht er geltend, dass es "schön wäre", wenn mit der Entschädigungs- forderungen die noch offenen Bussen in der Höhe von Fr. 500.– bezahlt würden (Prot. I S. 34). Dabei handelt es sich jedoch um keine Aufwendungen im vorlie- genden Verfahren. Es erscheint insgesamt gerechtfertigt, dem Beschuldigten für das Vorverfahren und das erstinstanzliche Verfahren eine reduzierte Entschädi- gung von Fr. 200.– aus der Gerichtskasse zuzusprechen. Das Verrechnungsrecht des Staates bleibt indessen vorbehalten (Art. 442 Abs. 4 StPO).</w:t>
      </w:r>
    </w:p>
    <w:p>
      <w:r>
        <w:t>- 24 - 2. Berufungsverfahren Der Beschuldigte unterliegt im Berufungsverfahren vollumfänglich. Die Staats- anwaltschaft unterliegt teilweise. Dem Beschuldigten sind demnach bei diesem Verfahrensausgang 4/5 der Gerichtskosten aufzuerlegen und 1/5 auf die Ge- richtskasse zu nehmen. Die Gerichtsgebühr ist auf Fr. 2'500.– festzusetzen. Dem Beschuldigten ist zudem eine reduzierte Prozessentschädigung von Fr. 100.– aus der Gerichtskasse zuzusprechen. Das Verrechnungsrecht des Staates bleibt wiederum vorbehalten (Art. 442 Abs. 4 StPO). Es wird vorab beschlossen:</w:t>
      </w:r>
    </w:p>
    <w:p>
      <w:r>
        <w:rPr>
          <w:b/>
        </w:rPr>
        <w:t>E. 1.3</w:t>
      </w:r>
    </w:p>
    <w:p>
      <w:r>
        <w:t>Wie noch zu zeigen sein wird, ist der Beschuldigte trotz seiner drei Vor- strafen (Urk. 45) vorliegend mit einer Geldstrafe zu sanktionieren.</w:t>
      </w:r>
    </w:p>
    <w:p>
      <w:r>
        <w:t>- 18 - 2. Konkrete Strafzumessung</w:t>
      </w:r>
    </w:p>
    <w:p>
      <w:r>
        <w:rPr>
          <w:b/>
        </w:rPr>
        <w:t>E. 2</w:t>
      </w:r>
    </w:p>
    <w:p>
      <w:r>
        <w:t>Umfang der Berufung Der Beschuldigte beantragt einen vollumfänglichen Freispruch (Urk. 46 und Urk. 55). Die Staatsanwaltschaft beantragt einen anklagegemässen Schuldspruch (Urk. 51). Das vorinstanzliche Urteil ist demnach vollumfänglich angefochten.</w:t>
      </w:r>
    </w:p>
    <w:p>
      <w:r>
        <w:rPr>
          <w:b/>
        </w:rPr>
        <w:t>E. 2.1</w:t>
      </w:r>
    </w:p>
    <w:p>
      <w:r>
        <w:t>Versuchte Nötigung</w:t>
      </w:r>
    </w:p>
    <w:p>
      <w:r>
        <w:rPr>
          <w:b/>
        </w:rPr>
        <w:t>E. 2.1.1</w:t>
      </w:r>
    </w:p>
    <w:p>
      <w:r>
        <w:t>Betreffend die objektive Tatschwere lässt sich festhalten, dass der Be- schuldigte zunächst die Rückerstattung von Fr. 75.– für eine offene Fahrstunde der Geschädigten von der Löschung der negativen Google Rezension abhängig machte. Da dies nicht erfolgreich verlief, drohte der Beschuldigte der Geschädig- ten bzw. ihrem Ehemann zunächst eine Betreibung und eine Klage auf Schaden- ersatz und Genugtuung wegen Ehrverletzung an und setzte sie mit weiteren E- Mails unter Druck. Obschon die Fr. 75.– auf das Konto der Geschädigten bzw. des Ehemanns der Geschädigten überwiesen wurden, wurde von der H._____ ei- ne Betreibungsverfahren in der Höhe von Fr. 2'000.– gegen die Geschädigte ein- geleitet. Den Rückzug der Betreibung machte der Beschuldigte davon abhängig, dass die Geschädigte die negative Rezension löscht. Der Beschuldigte übte mit- hin wiederholt Druck auf die Geschädigte bzw. deren Ehemann aus und schreckte nicht davor zurück, missbräuchlich und zweckwidrig ein Betreibungsverfahren über eine angebliche Ehrverletzung in der Höhe von Fr. 2'000.– gegen die Ge- schädigte anzudrohen bzw. pendent zu behalten. Die Höhe dieser Forderung er- hielt er von seinem "Chef" mitgeteilt. Dieses Verhalten des Beschuldigten zeugt von einer gewissen kriminellen Energie. Es handelt sich zudem um ein geplantes Handeln, indem das Betreibungsverfahren zuvor mehrfach angedroht wurde. Im- merhin fällt die in Betreibung gesetzte Forderung nicht allzu hoch aus. Die objek- tive Tatschwere liegt insgesamt noch leicht.</w:t>
      </w:r>
    </w:p>
    <w:p>
      <w:r>
        <w:rPr>
          <w:b/>
        </w:rPr>
        <w:t>E. 2.1.2</w:t>
      </w:r>
    </w:p>
    <w:p>
      <w:r>
        <w:t>In subjektiver Hinsicht ist zu erwähnen, dass der Beschuldigte direktvor- sätzlich handelte. Der Beschuldigte wollte die Geschädigte mit der Betreibung da- zu bringen, dass sie die negative Rezension auf Google löscht. Wäre dies erfolgt, hätte er die Betreibung zurückgezogen. Die Betreibung diente mithin einzig und allein dem Zweck, der Geschädigten das inkriminierte Verhalten abzuverlangen. Der Beschuldigte tat dies jedoch nicht für sich selbst sondern für die H._____. Insgesamt wiegt die subjektive Tatschwere ebenfalls noch leicht. Die Strafe ist auf 120 Strafeinheiten festzusetzen.</w:t>
      </w:r>
    </w:p>
    <w:p>
      <w:r>
        <w:t>- 19 -</w:t>
      </w:r>
    </w:p>
    <w:p>
      <w:r>
        <w:rPr>
          <w:b/>
        </w:rPr>
        <w:t>E. 2.1.3</w:t>
      </w:r>
    </w:p>
    <w:p>
      <w:r>
        <w:t>Für den Versuch ist eine Strafminderung vorzunehmen. Die Geschädigte kam der Aufforderung des Beschuldigten, die negative Google Rezension zu löschen, nicht nach. Dies ist jedoch nicht dem Zutun des Beschuldigten zu ver- danken. Es rechtfertigt sich eine Minderung der Strafe auf 90 Strafeinheiten.</w:t>
      </w:r>
    </w:p>
    <w:p>
      <w:r>
        <w:rPr>
          <w:b/>
        </w:rPr>
        <w:t>E. 2.1.4</w:t>
      </w:r>
    </w:p>
    <w:p>
      <w:r>
        <w:t>Zur Täterkomponente lässt sich festhalten, dass der Beschuldigte Jura studiert hat und 1992 die Zürcher Anwaltsprüfung erwarb. Aufgrund des Todes seiner Freundin im Jahr 2004 bekam er Depressionen und wurde kokainsüchtig, was zum Entzug des Anwaltspatentes führte. Aktuell arbeitet er als Handlungsbe- vollmächtigter für verschiedene Firmen von Herr J._____ und ist zudem bei der …-Schule als Dozent angestellt. Ferner arbeitet er ab und zu noch selbständig (Prot. I S. 6 f.). Sein monatliches Einkommen beträgt Fr. 750.– (Urk. 56). Zudem hat er Schulden von ca. Fr. 150'000.– (Prot. I S. 7). Die persönlichen Verhältnisse des Beschuldigten sind neutral zu werten. Der Beschuldigte hat drei Vorstrafen. Letztmals wurde er mit Urteil des Ober- gerichts, I. Strafkammer, vom 13. November 2017 wegen Erpressung zu einer Geldstrafe von 90 Tagessätzen zu Fr. 20.– als Zusatzstrafe zum Strafbefehl der Staatsanwaltschaft I des Kantons Zürich verurteilt (Urk. 45 und Urk. D1/14/4). Die Vorstrafen liegen zeitlich schon etwas zurück, weshalb sich dafür eine Erhöhung um 20 Strafeinheiten rechtfertigt. Der Beschuldigte handelte zudem während laufender Probezeit, wofür eine weitere Erhöhung um 10 Strafeinheiten angemes- sen erscheint. Zu berücksichtigen ist weiter das Nachtatverhalten. Der Beschuldigte zeigte sich von Beginn an im äusseren Sachverhalt geständig. Die Strafe ist deshalb um 30 Strafeinheiten zu reduzieren, weshalb eine Strafe von 90 Strafeinheiten resul- tiert.</w:t>
      </w:r>
    </w:p>
    <w:p>
      <w:r>
        <w:rPr>
          <w:b/>
        </w:rPr>
        <w:t>E. 2.1.5</w:t>
      </w:r>
    </w:p>
    <w:p>
      <w:r>
        <w:t>Eine besondere Strafempfindlichkeit ist nicht ersichtlich und wird auch nicht geltend gemacht.</w:t>
      </w:r>
    </w:p>
    <w:p>
      <w:r>
        <w:rPr>
          <w:b/>
        </w:rPr>
        <w:t>E. 2.1.6</w:t>
      </w:r>
    </w:p>
    <w:p>
      <w:r>
        <w:t>Bei dieser Strafhöhe stellt die Sanktionierung mit Geldstrafe den Normalfall dar. Trotz Vorstrafen des Beschuldigten erscheint weder aus general- noch spe-</w:t>
      </w:r>
    </w:p>
    <w:p>
      <w:r>
        <w:t>- 20 - zialpräventiven Gründen eine kurze Freiheitsstrafe angezeigt. Die Staatsanwalt- schaft beantragt im Übrigen ebenfalls eine Geldstrafe (Urk. 51).</w:t>
      </w:r>
    </w:p>
    <w:p>
      <w:r>
        <w:rPr>
          <w:b/>
        </w:rPr>
        <w:t>E. 2.1.7</w:t>
      </w:r>
    </w:p>
    <w:p>
      <w:r>
        <w:t>Die Höhe des Tagessatzes ist auch bei einem einkommensschwachen Straftäter, der nahe oder unter dem Existenzminimum lebt, nur in einem Masse herabzusetzen, dass die Ernsthaftigkeit der Sanktion durch den Eingriff in die ge- wohnte Lebensführung erkennbar ist, damit der Geldstrafe nicht bloss ein symbo- lischer Wert zukommt (Urteil des Bundesgerichtes 6B_778/2020 vom 13. April 2021 E. 2.5). Vorliegend ist die Höhe des Tagessatzes aufgrund der bescheide- nen finanziellen Verhältnisse des Beschuldigten auf das gesetzliche Minimum von Fr. 30.– festzusetzen (Art. 34 Abs. 1 StGB).</w:t>
      </w:r>
    </w:p>
    <w:p>
      <w:r>
        <w:rPr>
          <w:b/>
        </w:rPr>
        <w:t>E. 2.1.8</w:t>
      </w:r>
    </w:p>
    <w:p>
      <w:r>
        <w:t>Nach dem Gesagten ist der Beschuldigte mit einer Geldstrafe von 90 Tagessätzen zu Fr. 30.– zu bestrafen.</w:t>
      </w:r>
    </w:p>
    <w:p>
      <w:r>
        <w:rPr>
          <w:b/>
        </w:rPr>
        <w:t>E. 2.2</w:t>
      </w:r>
    </w:p>
    <w:p>
      <w:r>
        <w:t>Mehrfache Widerhandlung gegen das kantonale Anwaltsgesetz</w:t>
      </w:r>
    </w:p>
    <w:p>
      <w:r>
        <w:rPr>
          <w:b/>
        </w:rPr>
        <w:t>E. 2.2.1</w:t>
      </w:r>
    </w:p>
    <w:p>
      <w:r>
        <w:t>§ 40 AnwG ZH sieht als Strafe eine Busse bis Fr. 20'000.– vor. Bezüglich der Grundsätze der Festlegung einer Busse kann auf die zutreffenden Erwägun- gen der Vorinstanz verwiesen werden (Urk. 43 S. 17).</w:t>
      </w:r>
    </w:p>
    <w:p>
      <w:r>
        <w:rPr>
          <w:b/>
        </w:rPr>
        <w:t>E. 2.2.2</w:t>
      </w:r>
    </w:p>
    <w:p>
      <w:r>
        <w:t>Der Beschuldigte trat als Vertreter von C._____ auf, indem er für ihn eine Rechtsschrift verfasste, als Zustelladresse fungierte und ihn zur Schlichtungsver- handlung vom 11. August 2020 begleitete. Er ging dabei weder besonders raffi- niert, noch zeitlich längerfristig vor, nahm aber massgebliche anwaltliche Aufga- ben für C._____ wahr. Dabei hat er indessen nur eine Person vertreten. Der Be- schuldigte weiss jedoch, dass er infolge des Entzugs des Anwaltspatents im Jahr 2004 nicht mehr im Anwaltsmonopol tätig sein darf. Deswegen wurde er schon mehrfach sanktioniert (Prot. I S. 10). Er handelte demnach direktvorsätzlich. Das objektive und subjektive Verschulden des Beschuldigten wiegt noch leicht. Merk- lich straferhöhend zu berücksichtigen sind zudem seine drei Vorstrafen. Der Be- schuldigte zeigte sich indessen im äusseren Sachverhalt geständig. Insgesamt rechtfertigt sich namentlich auch unter Berücksichtigung der bescheidenen finan- ziellen Verhältnisse des Beschuldigten eine Busse in der Höhe von Fr. 600.–.</w:t>
      </w:r>
    </w:p>
    <w:p>
      <w:r>
        <w:t>- 21 -</w:t>
      </w:r>
    </w:p>
    <w:p>
      <w:r>
        <w:rPr>
          <w:b/>
        </w:rPr>
        <w:t>E. 2.2.3</w:t>
      </w:r>
    </w:p>
    <w:p>
      <w:r>
        <w:t>Der Beschuldigte trat zudem als Handlungsbevollmächtigter der I._____ AG auf, indem er deren Eingabe vom 1. Juli 2021 verfasste und als Zustelladresse für jegliche Korrespondenz fungierte. Dabei bewegte er sich wiederum im Anwalts- monopol, obschon er seit dem Entzug nicht mehr dazu befugt ist. Der Beschuldig- te zeigte dabei als "Handlungsbevollmächtigter" verschiedener Gesellschaften von Herrn J._____ die Bereitschaft, in einer unbegrenzten Anzahl von Verfahren als dessen Rechtsvertreter forensisch als Prozessvertreter bzw. im Anwaltsmo- nopol tätig zu werden. Dieses Verhalten ist wie dargelegt als Umgehung des Anwaltsmonopols zu werten. Das Vorgehen war raffiniert und professionell. Der Beschuldigte wusste zudem, dass er nicht befugt ist, im Anwaltsmonopol tätig zu werden, weshalb direkter Vorsatz gegeben ist. Das objektive und subjektive Ver- schulden wiegt damit nicht mehr leicht. Straferhöhend zu berücksichtigen sind zu- dem seine drei Vorstrafen. Der Beschuldigte zeigte sich indessen im äusseren Sachverhalt geständig. Insgesamt rechtfertigt sich auch hier insbesondere unter Berücksichtigung der bescheidenen finanziellen Verhältnisse des Beschuldigten eine Busse in der Höhe von Fr. 1'000.–.</w:t>
      </w:r>
    </w:p>
    <w:p>
      <w:r>
        <w:rPr>
          <w:b/>
        </w:rPr>
        <w:t>E. 2.2.4</w:t>
      </w:r>
    </w:p>
    <w:p>
      <w:r>
        <w:t>Nach dem Gesagten ist der Beschuldigte in Anwendung des Asperations- prinzips mit einer Busse von insgesamt Fr. 1'300.– zu bestrafen. 3. Widerruf und Vollzug</w:t>
      </w:r>
    </w:p>
    <w:p>
      <w:r>
        <w:rPr>
          <w:b/>
        </w:rPr>
        <w:t>E. 2.3</w:t>
      </w:r>
    </w:p>
    <w:p>
      <w:r>
        <w:t>In der Folge betrieb der Beschuldigte als Vertreter von C._____ die B._____ GmbH in der Höhe von Fr. 119'944.05 zuzüglich 5% Zins seit dem 24. Juni 2020 für eine Forderung aus "Arbeitsvertrag gemäss Schreiben von Herrn A._____ vom 20.5.20 an RA E._____" (Urk. 2/2), wogegen am 9. Juli 2020 Rechtsvorschlag erhoben wurde. Zudem verfasste der Beschuldigte für C._____ eine Klage ans Friedensrichteramt F._____, worin er den Betrag von Fr. 119'944.05 zuzüglich 5% Zins seit dem 24. Juni 2020 und die Aufhebung des Rechtsvorschlages forderte (Urk. D1/5/1). Die Staatsanwaltschaft macht dem Be- schuldigten hier den Vorwurf, dass es sich um eine sog. Schikanebetreibung ge- handelt habe. Dies ergebe sich daraus, dass zunächst lediglich ein Vergleichsan- gebot von Fr. 10'000.– unterbreitet worden und dann eine angeblich bestehende Lohnforderung von knapp Fr. 120'000.– betrieben worden sei, um unrechtmässig Druck auf die B._____ GmbH auszuüben, damit Letztere – in Anbetracht des nachfolgenden Klagerückzugs – eine nicht durchsetzbare, unberechtigte Forde- rung bezahle (Urk. 51).</w:t>
      </w:r>
    </w:p>
    <w:p>
      <w:r>
        <w:rPr>
          <w:b/>
        </w:rPr>
        <w:t>E. 2.4</w:t>
      </w:r>
    </w:p>
    <w:p>
      <w:r>
        <w:t>Eine Schikanebetreibung stellt eine ungerechtfertigte Betreibung dar, welche aus böswilligen Beweggründen eingeleitet wurde, z.B. als Druckmittel o- der zur Blossstellung des Betroffenen. Darunter fällt auch eine Betreibung, welche über einen höheren als den in Wirklichkeit geschuldeten Betrag erhoben wird. Obwohl jede Betreibung zwischenzeitlich mit Rechtsvorschlag gestoppt werden kann, bleibt sie im Betreibungsregister bestehen, wobei für einen ins Betreibungs- register Einsicht nehmenden Dritten nicht in jedem Fall erkennbar ist, dass es sich um eine ungerechtfertigte, aus schikanöser Absicht eingeleitete Betreibung han- delt. Die Lehre und Rechtsprechung verneinte grundsätzlich die Frage, ob eine grundlos eingeleitete Betreibung die Qualität eines Zwangsmittels im Sinne von</w:t>
      </w:r>
    </w:p>
    <w:p>
      <w:r>
        <w:t>- 8 - Art. 181 StGB erreichen könnte, da es zivilrechtliche Mittel (Möglichkeit des Rechtsvorschlages und der gerichtlichen Überprüfung) gebe, um die Interessen des Schuldners bzw. des Geschädigten hinreichend zu schützen. Bei einem of- fensichtlichen Missbrauch könne die Betreibung zudem als nichtig erklärt werden. In bestimmten Ausnahmensituationen, wo der Betriebene nachweislich auf einen sauberen Betreibungsregisterauszug angewiesen sei, und der Beschuldigte Kenntnis davon habe, könne dennoch eine schikanöse Betreibung eine Nöti- gungshandlung darstellen (zum Ganzen: BISchK 2017, Daniel Jositsch und Mar- tina Conte, Nötigung durch Betreibung, S. 63-73, m.w.H.). Das Bundesgericht hat ferner in mehreren Urteilen festgehalten, dass eine Nötigungshandlung dann vor- liegen könne, wenn die Betreibung als missbräuchliches Mittel eingesetzt werde, um Druck auf die betroffene Person auszuüben, damit sie einer Zahlungsauffor- derung nachkomme, obschon keine berechtigte (Geld-)Forderung bestehe (Urtei- le des Bundesgerichtes 6B_1100/2018 vom 17. Dezember 2018 E. 3.3; 6B_70/2016 vom 2. Juni 2016 E. 4.3.4). In einem solchen Fall handle es sich ge- mäss Bundesgericht bei der Betreibung um ein rechtswidriges Druckmittel, wel- ches geeignet sei, auch eine besonnene Personen gefügig zu machen und so ih- re Freiheit der Willensbildung oder -betätigung zu beschränken (Urteile des Bun- desgerichts 6B_378/2016 vom 15. Dezember 2016 E. 2.2; 6B_70/2016 vom 2. Juni 2016 E. 4.3.4).</w:t>
      </w:r>
    </w:p>
    <w:p>
      <w:r>
        <w:rPr>
          <w:b/>
        </w:rPr>
        <w:t>E. 2.5</w:t>
      </w:r>
    </w:p>
    <w:p>
      <w:r>
        <w:t>Vorliegend war der Beschuldigte offenbar der Auffassung, dass die B._____ GmbH gegenüber C._____ Pflichten des anwendbaren GAVs verletzt habe und hielt dies vor Einleitung der Betreibung in einem ausführlichen Schrei- ben vom 20. Mai 2020 gegenüber der B._____ GmbH bzw. dessen Rechtsvertre- ter ausdrücklich fest (Urk. D1/5/4/1). Diesem Schreiben kann auch entnommen werden, wie der Beschuldigte die Forderung in der Höhe von Fr. 119'944.05 be- rechnete. Darin waren behauptete Lohnausstände aus den Jahren 2016 bis 2020 sowie der bisherige Aufwand des Beschuldigten als Vertreter von C._____ enthal- ten. Entgegen den Ausführungen der Staatsanwaltschaft lautete das darin enthal- tene Vergleichsangebot Fr. 90'000.– und nicht (mehr) Fr. 10'000.– (Urk. D1/5/4/1 S. 27). Dass das Kantonsgericht Zug dem Beschuldigten als Vertreter von C._____ einen Klagerückzug empfahl, ist aktenkundig. Dies erfolgte jedoch, weil</w:t>
      </w:r>
    </w:p>
    <w:p>
      <w:r>
        <w:t>- 9 - die Klage nicht den Anforderungen der Zivilprozessordnung entsprach und nicht aus materiell-rechtlichen Gründen (Urk. D1/5/2/3). Es ist ferner mit der Vorinstanz ein zulässiges und probates Mittel, ein Betreibungsverfahren über eine behaupte- te Geldforderung zwecks deren Durchsetzung bzw. Vollstreckung einzuleiten (Urk. 43 S. 5). Der Beschuldigte stellte dabei zwar einen weitaus höheren Betrag in Betreibung, als er zu Beginn forderte. Dies erklärte er vor Vorinstanz jedoch damit, dass er nach Studium der Unterlagen zum Schluss gekommen sei, dass eine höhere Lohnsumme geschuldet gewesen sei (Prot. I S. 13). Die anfänglich geforderten Fr. 10'000.– habe er als Zeichen des guten Willens gefordert, damit die B._____ GmbH die Forderung bezahle und Stellung zu den Verletzungen des Arbeitsvertrages und des GAV nehme (Prot. I S. 11). Der Beschuldigte handelte demnach in der Annahme, es seien über Jahre hinweg Vorschriften des Arbeits- vertrages und des anwendbaren GAVs durch die B._____ GmbH gegenüber C._____ verletzt worden, weshalb er, nachdem die geltend gemachten Forderun- gen unbeantwortet blieben, eine Betreibung in der geforderten Höhe einleitete. Das gewählte Mittel der Betreibung ist damit weder missbräuchlich noch sitten- widrig. Vielmehr bestand ein sachlicher Zusammenhang zur Durchsetzung der behaupteten Lohnforderung mittels eines Betreibungsverfahrens. Demnach han- delte es sich hier um keine Schikanebetreibung des Beschuldigten. Es ist ansons- ten auch keine rechtswidrige Nötigungshandlung des Beschuldigten zu erkennen.</w:t>
      </w:r>
    </w:p>
    <w:p>
      <w:r>
        <w:rPr>
          <w:b/>
        </w:rPr>
        <w:t>E. 2.6</w:t>
      </w:r>
    </w:p>
    <w:p>
      <w:r>
        <w:t>Nach dem Gesagten hat sich der Beschuldigte betreffend Dossier 1 nicht der (versuchten) Nötigung schuldig gemacht und ist diesbezüglich mit der Vorinstanz freizusprechen. 3. Vorwurf der versuchten Nötigung in Dossier 3</w:t>
      </w:r>
    </w:p>
    <w:p>
      <w:r>
        <w:rPr>
          <w:b/>
        </w:rPr>
        <w:t>E. 3</w:t>
      </w:r>
    </w:p>
    <w:p>
      <w:r>
        <w:t>Eintritt der Verjährung Die Vorinstanz hielt zutreffend fest, dass der Vorwurf der Widerhandlung gegen das kantonale Anwaltsgesetz in Dossier 2 (Handlung vom 31. Mai 2019) verjährt ist (Art. 109 StGB). Auf die Ausführungen der Vorinstanz kann vollumfänglich verwiesen werden (Urk. 43 S. 12 f.). Es hat hier infolge Eintritt eines Verfah- renshindernisses eine Einstellung zu erfolgen.</w:t>
      </w:r>
    </w:p>
    <w:p>
      <w:r>
        <w:rPr>
          <w:b/>
        </w:rPr>
        <w:t>E. 3.1</w:t>
      </w:r>
    </w:p>
    <w:p>
      <w:r>
        <w:t>Der Beschuldigte wurde wie erwähnt mit Urteil des Obergerichtes des Kantons Zürich, I. Strafkammer, vom 13. November 2017 wegen versuchter Erpressung zu einer bedingten Geldstrafe von 90 Tagessätzen zu Fr. 20.– verur- teilt, wobei die Probezeit auf 3 Jahre festgesetzt wurde. Die vorliegend zu beurtei- lende (versuchte) Nötigung (Dossier 3) beging der Beschuldigte im Som- mer/Herbst 2020, weshalb er während laufender Probezeit straffällig wurde.</w:t>
      </w:r>
    </w:p>
    <w:p>
      <w:r>
        <w:rPr>
          <w:b/>
        </w:rPr>
        <w:t>E. 3.2</w:t>
      </w:r>
    </w:p>
    <w:p>
      <w:r>
        <w:t>Begeht der Verurteilte während der Probezeit ein Verbrechen oder Ver- gehen und ist deshalb zu erwarten, dass er weitere Straftaten verüben wird, so widerruft das Gericht gemäss Art. 46 Abs. 1 StGB die bedingte Strafe oder den bedingten Teil der Strafe. Ist nicht zu erwarten, dass der Verurteilte weitere Straftaten begehen wird, so verzichtet das Gericht gemäss Abs. 2 derselben</w:t>
      </w:r>
    </w:p>
    <w:p>
      <w:r>
        <w:t>- 22 - Bestimmung auf einen Widerruf. Es kann den Verurteilten verwarnen oder die Probezeit um höchstens die Hälfte der im Urteil festgesetzten Dauer verlängern. Die Anforderungen an die Prognose entsprechen denjenigen gemäss Art. 42 Abs. 1 StGB. Die Prüfung der Bewährungsaussichten des Täters ist anhand einer Gesamtwürdigung aller wesentlichen Umstände vorzunehmen (vgl. dazu im Ein- zelnen: BGE 134 IV 1 E. 4.2.1 S. 5; 134 IV 140 E. 4.5 S. 144; je mit Hinweisen).</w:t>
      </w:r>
    </w:p>
    <w:p>
      <w:r>
        <w:rPr>
          <w:b/>
        </w:rPr>
        <w:t>E. 3.3</w:t>
      </w:r>
    </w:p>
    <w:p>
      <w:r>
        <w:t>Sind die widerrufene und die neue Strafe zudem gleicher Art, so bildet das Gericht in sinngemässer Anwendung von Art. 49 StGB eine Gesamtstrafe (Art. 46 Abs. 1 Satz 2 StGB). Bei der Gesamtstrafenbildung hat das Gericht methodisch von derjenigen Strafe als "Einsatzstrafe" auszugehen, die es für die während der Probezeit neu verübte Straftat nach den Strafzumessungsgrundsätzen von Art. 47 ff. StGB ausfällt. Anschliessend ist diese mit Blick auf die zu widerrufende Vor- strafe angemessen zu erhöhen. Daraus ergibt sich die Gesamtstrafe. Bilden die "Einsatzstrafe" für die neu zu beurteilenden Probezeitdelikte und die Vorstrafe ih- rerseits Gesamtstrafen, kann das Gericht der bereits im Rahmen der jeweiligen Gesamtstrafenbildung erfolgten Asperation durch eine gemässigte Berücksichti- gung bei der Gesamtstrafenbildung Rechnung tragen (BGE 145 IV 146 E. 2.4.2 S. 152 f.).</w:t>
      </w:r>
    </w:p>
    <w:p>
      <w:r>
        <w:rPr>
          <w:b/>
        </w:rPr>
        <w:t>E. 3.4</w:t>
      </w:r>
    </w:p>
    <w:p>
      <w:r>
        <w:t>Dem Beschuldigten kann vorliegend im Rahmen der Beurteilung des Wi- derrufs keine günstige Legalprognose mehr gestellt werden, was sich vor allem daraus ergibt, dass ihn offensichtlich die ihm bisher auferlegten bedingten Strafen nicht hinreichend abzuschrecken und damit von weiteren Straftaten abzuhalten vermochten. Eine Verlängerung der Probezeit kommt daher nicht in Frage. Die Geldstrafe von 90 Tagessätzen ist entsprechend zu widerrufen.</w:t>
      </w:r>
    </w:p>
    <w:p>
      <w:r>
        <w:rPr>
          <w:b/>
        </w:rPr>
        <w:t>E. 3.5</w:t>
      </w:r>
    </w:p>
    <w:p>
      <w:r>
        <w:t>In Anwendung des Asperationsprinzips ist demnach mit der widerrufenen Geldstrafe von 90 Tagessätzen und der neu auferlegten Geldstrafe von 90 Tages- sätzen eine Gesamtstrafe zu bilden. Da es sich bei der zu widerrufenen Geldstra- fe bereits um eine Zusatzstrafe zum Strafbefehl der Staatsanwaltschaft I des Kan- tons Zürich vom 8. Februar 2016 handelt, ist eine gemässigte Asperation um 50 Tagessätze vorzunehmen.</w:t>
      </w:r>
    </w:p>
    <w:p>
      <w:r>
        <w:t>- 23 -</w:t>
      </w:r>
    </w:p>
    <w:p>
      <w:r>
        <w:rPr>
          <w:b/>
        </w:rPr>
        <w:t>E. 3.6</w:t>
      </w:r>
    </w:p>
    <w:p>
      <w:r>
        <w:t>Der Beschuldigte ist demnach unter Einbezug der widerrufenen Strafe mit einer unbedingten Geldstrafe von 130 Tagessätzen zu Fr. 30.– zu bestrafen. Die Strafe ist aufgrund der ungünstigen Prognose zu vollziehen.</w:t>
      </w:r>
    </w:p>
    <w:p>
      <w:r>
        <w:rPr>
          <w:b/>
        </w:rPr>
        <w:t>E. 3.7</w:t>
      </w:r>
    </w:p>
    <w:p>
      <w:r>
        <w:t>Diese Busse ist von Gesetzes wegen unter Anordnung einer Ersatzfrei- heitsstrafe von 13 Tagen zu vollziehen. IV. Zivilansprüche Die Geschädigte G._____ konstituierte sich als Privatklägerin und machte eine Zivilforderung in der Höhe von Fr. 2'000.– wegen der ungültigen Betreibung gel- tend (Urk. D3/7/2). Der Beschuldigte beantragte vor Vorinstanz die Abweisung der Forderung (Prot. I S. 30). Die Vorinstanz verwies die Privatklägerin damit auf den Weg Zivilprozesses. Da sich die Privatklägerin im Berufungsverfahren nicht aktiv beteiligte, ist dies ohne Weiterungen zu bestätigen. V. Kosten- und Entschädigungsfolgen 1. Erstinstanzliches Verfahren</w:t>
      </w:r>
    </w:p>
    <w:p>
      <w:r>
        <w:rPr>
          <w:b/>
        </w:rPr>
        <w:t>E. 4</w:t>
      </w:r>
    </w:p>
    <w:p>
      <w:r>
        <w:t>Vorwürfe der Widerhandlung gegen das kantonale Anwaltsgesetz ZH</w:t>
      </w:r>
    </w:p>
    <w:p>
      <w:r>
        <w:rPr>
          <w:b/>
        </w:rPr>
        <w:t>E. 4.1</w:t>
      </w:r>
    </w:p>
    <w:p>
      <w:r>
        <w:t>Dossier 1</w:t>
      </w:r>
    </w:p>
    <w:p>
      <w:r>
        <w:rPr>
          <w:b/>
        </w:rPr>
        <w:t>E. 4.1.1</w:t>
      </w:r>
    </w:p>
    <w:p>
      <w:r>
        <w:t>Der Beschuldigte gab an, er sei nie als Vertreter von C._____ aufgetreten. Er habe die Eingabe im Namen von C._____ geschrieben, ihn lediglich zur Schlichtungsverhandlung begleitet und seine Adresse als Zustelladresse angege- ben, weil C._____ kaum Deutsch spreche (Prot. I S. 16 f.).</w:t>
      </w:r>
    </w:p>
    <w:p>
      <w:r>
        <w:rPr>
          <w:b/>
        </w:rPr>
        <w:t>E. 4.1.2</w:t>
      </w:r>
    </w:p>
    <w:p>
      <w:r>
        <w:t>Nach § 40 AnwG macht sich strafbar, wer im Bereich des Anwaltsmonopo- les tätig ist, ohne dazu berechtigt zu sein. Der Begriff des Anwaltsmonopoles wird in §11 AnwG gestützt auf Art. 68 Abs. 2 ZPO wie folgt definiert: Den Anwältinnen und Anwälten, die im kantonalen Anwaltsregister eingetragen sind oder Freizügigkeit nach dem BGFA geniessen, sind folgende Tätigkeiten vorbehalten: die Verteidigung und die berufsmässige Vertretung der Privatkläger- schaft oder anderer Verfahrensbeteiligter im Strafprozess vor den Strafbehörden (Abs. 1 lit. a), die berufsmässige Vertretung im Zivilprozess vor den Schlichtungs- behörden und den Gerichten (Abs. 1 lit. b). Zur Tätigkeit im Bereich des Anwalts- monopols sind gemäss Absatz 2 auch berechtigt: Vertreterinnen und Vertreter im Sinne von Art. 68 Abs. 2 lit. d ZPO vor den Miet- und Arbeitsgerichten bis zu einem Streitwert von Fr. 30'000.– (lit. a), Vertreterinnen und Vertreter nach Art. 27 SchKG in Angelegenheiten des summarischen Verfahrens nach Art. 251 ZPO (lit. b).</w:t>
      </w:r>
    </w:p>
    <w:p>
      <w:r>
        <w:rPr>
          <w:b/>
        </w:rPr>
        <w:t>E. 4.1.3</w:t>
      </w:r>
    </w:p>
    <w:p>
      <w:r>
        <w:t>Bezüglich der Voraussetzungen für die Annahme einer berufsmässigen Vertretung im Anwaltsmonopol kann im Übrigen, um unnötige Wiederholungen zu</w:t>
      </w:r>
    </w:p>
    <w:p>
      <w:r>
        <w:t>- 14 - vermeiden, auf die zutreffenden Erwägungen der Vorinstanz verwiesen werden (Urk. 43 S. 8 f.).</w:t>
      </w:r>
    </w:p>
    <w:p>
      <w:r>
        <w:rPr>
          <w:b/>
        </w:rPr>
        <w:t>E. 4.1.4</w:t>
      </w:r>
    </w:p>
    <w:p>
      <w:r>
        <w:t>Die Vorinstanz hielt fest, dass der Beschuldigte seine Privatadresse als Zustelladresse auf der Klage vom 16. Juli 2020 angegeben, die Klage verfasst und C._____ zur Schlichtungsverhandlung begleitet habe. Damit habe er sämtli- che Funktionen, welche ein Vertreter im Rahmen des Anwaltsmonopoles übli- cherweise wahrnehme, übernommen. Es sei daher von einem Vertretungsver- hältnis auszugehen. Das Mandatsverhältnis sei nicht aufgrund eines besonderen Näheverhältnisses zwischen C._____ und dem Beschuldigten zustande gekom- men. Zudem sei das Mandat entgeltlich gewesen, weshalb insgesamt darauf zu schliessen sei, dass der Beschuldigte bereit gewesen sei, in einer unbestimmten Vielzahl ähnlich gelagerter Fälle als Vertreter aufzutreten, weshalb die Berufs- mässigkeit ebenfalls zu bejahen sei (Urk. 43 S. 9 f.). Diese Würdigung der Vo- rinstanz ist uneingeschränkt zu teilen und bedarf keiner Ergänzung. Die Vo- rinstanz hielt zudem richtig fest, dass aufgrund des Streitwertes von Fr. 119'944.05 auch keine Ausnahme des Anwaltsmonopoles im Sinne von Art. 68 Abs. 2 lit. d ZPO vorliegt. Der objektive Tatbestand im Sinne von § 40 i.V.m. § 11 Abs. 1 lit b AnwG ZH ist somit erfüllt.</w:t>
      </w:r>
    </w:p>
    <w:p>
      <w:r>
        <w:rPr>
          <w:b/>
        </w:rPr>
        <w:t>E. 4.1.5</w:t>
      </w:r>
    </w:p>
    <w:p>
      <w:r>
        <w:t>Die Ausführungen der Vorinstanz zum subjektiven Tatbestand sind eben- falls zutreffend. Darauf kann verwiesen werden (Urk. 43 S. 11). Der Beschuldigte wusste, dass er im Bereich des Anwaltsmonopols nicht berufsmässig tätig sein durfte und nahm dennoch die Vertretung von C._____ wahr. Das Risiko der Tatbestandsverwirklichung, das Tätigkeitwerden als berufsmässiger Vertreter im Anwaltsmonopol ohne kantonales Anwaltspatent, nahm er damit mindestens billigend in Kauf.</w:t>
      </w:r>
    </w:p>
    <w:p>
      <w:r>
        <w:rPr>
          <w:b/>
        </w:rPr>
        <w:t>E. 4.1.6</w:t>
      </w:r>
    </w:p>
    <w:p>
      <w:r>
        <w:t>Der Beschuldigte ist nach dem Gesagten der Widerhandlung gegen § 40 AnwG ZH i.V.m. § 11 Abs. 1 lit. b AnwG ZH i.V.m. Art. 68 Abs. 2 lit. a ZPO schul- dig zu sprechen.</w:t>
      </w:r>
    </w:p>
    <w:p>
      <w:r>
        <w:rPr>
          <w:b/>
        </w:rPr>
        <w:t>E. 4.2</w:t>
      </w:r>
    </w:p>
    <w:p>
      <w:r>
        <w:t>Dossier 3</w:t>
      </w:r>
    </w:p>
    <w:p>
      <w:r>
        <w:t>- 15 -</w:t>
      </w:r>
    </w:p>
    <w:p>
      <w:r>
        <w:rPr>
          <w:b/>
        </w:rPr>
        <w:t>E. 4.2.1</w:t>
      </w:r>
    </w:p>
    <w:p>
      <w:r>
        <w:t>Bezüglich des Tatbestands von § 40 AnwG ZH und den rechtlichen Grundlagen eines berufsmässigen Vertretungsverhältnisses, welches gegen das Anwaltsmonopol verstösst, kann auf das oben Ausgeführte verwiesen werden (Ziffer 4.1.2 und 4.1.3).</w:t>
      </w:r>
    </w:p>
    <w:p>
      <w:r>
        <w:rPr>
          <w:b/>
        </w:rPr>
        <w:t>E. 4.2.2</w:t>
      </w:r>
    </w:p>
    <w:p>
      <w:r>
        <w:t>Der Beschuldigte macht geltend, er sei seit 2013 Handlungsbevollmächtig- ter verschiedener Firmen, namentlich der I._____ AG und der K._____ AG, und stehe dort (jeweils) in einem Anstellungsverhältnis. Als Handlungsbevollmächtig- ter mit Prozessführungsbefugnis dürfe er seinen Arbeitgeber vor Gericht vertre- ten. Herr J._____ sei ein schlauer Typ und habe verschiedene Firmen. Für diese sei er angestellt (Prot. I S. 23 f.). Auf Nachfrage wie sich das Arbeitsverhältnis ge- stalte, gab der Beschuldigte an, dass sie (Herr J._____ und er) sich alle zwei Wo- chen einmal treffen würden. Die Dossiers seien bei ihm und wenn es etwas Neu- es gebe, komme er (Herr J._____) vorbei (Prot. I S. 27). Er erhalte einen Lohn von Fr. 750.– und habe eine Handlungsvollmacht für alle Firmen von Herrn J._____ (Prot. I S. 28).</w:t>
      </w:r>
    </w:p>
    <w:p>
      <w:r>
        <w:rPr>
          <w:b/>
        </w:rPr>
        <w:t>E. 4.2.3</w:t>
      </w:r>
    </w:p>
    <w:p>
      <w:r>
        <w:t>Es trifft zwar mit der Vorinstanz zu, dass Handlungsbevollmächtige im Sin- ne von Art. 462 Abs. 2 OR die Gesellschaft in einem Verfahren vertreten dürfen, ohne dass sie die Voraussetzungen von Art. 68 Abs. 2 ZPO erfüllen müssen (vgl. Urk. 43 S. 16). Eine entsprechende Handlungsvollmacht der I._____ AG vom 19. Mai 2020 für den Beschuldigten liegt auch bei den Akten (Urk. 30/2). Vorliegend ist jedoch entgegen der Auffassung der Vorinstanz und mit der Staatsanwaltschaft davon auszugehen, dass die Handlungsvollmacht von J._____, Mitglied des Ver- waltungsrates der I._____ AG mit Einzelunterschrift (vgl. Urk. D1/8), ausschliess- lich ausgestellt wurde, um das Anwaltsmonopol zu umgehen, was aus den fol- genden Gründen als rechtsmissbräuchlich zu werten ist. Der Beschuldigte ist of- fenbar bei zahlreichen Gesellschaften von Herrn J._____ als Handlungsbevoll- mächtigter angestellt und bezieht einen Monatslohn. Der Lohn ist für einen ange- stellten Juristen vergleichsweise sehr tief. Bei der Firma K._____ AG erhielt er z.B. gerade einmal einen Nettojahreslohn von Fr. 9'000.– (Urk. 56). Zudem wird nach Angaben des Beschuldigten ohnehin nur ein Lohnausweis für alle Gesell- schaften von Herrn J._____ ausgestellt (Prot. I S. 25). Es ist demnach davon aus-</w:t>
      </w:r>
    </w:p>
    <w:p>
      <w:r>
        <w:t>- 16 - zugehen, dass der Beschuldigte als eigentlicher Rechtsvertreter von Herrn J._____ fungiert und nicht (nur) der firmeneigene Vertreter bzw. Handlungsbe- vollmächtigter der I._____ AG ist. Dafür spricht auch, dass der Beschuldigte seine private Adresse als Zustelladresse verwendet, damit "das rechtliche Zeug" zu ihm komme (vgl. Prot. I S. 26). Der Beschuldigte arbeitet(e) demnach trotz Hand- lungsvollmacht nicht hausintern. Ein solches Verhalten des Beschuldigten zwecks Umgehung des Anwaltsmonopols verdient keinen Rechtsschutz. Der Beschuldig- te weiss aufgrund zahlreicher Verfahren, dass es ihm mit den erwähnten Aus- nahmen von Art. 62 ZPO nicht erlaubt ist, als berufsmässiger Vertreter im An- waltsmonopol aufzutreten. Der Versuch des Beschuldigten mittels Handlungs- vollmachten von Gesellschaften einer einzigen Person (Herr J._____) dennoch als Vertreter im Anwaltsmonopol auftreten zu können, ist unter diesen Umständen folglich rechtsmissbräuchlich. Indem der Beschuldigte nach eigenen Angaben bei mehreren Gesellschaften als Handlungsbevollmächtiger im Rahmen des An- waltsmonopols auftritt, ist sein Handeln auch als berufsmässig zu qualifizieren, indem er seine Bereitschaft zeigt, in einer unbestimmten Vielzahl von Fällen nicht nur beratend sondern auch forensisch als Prozessvertreter der Gesellschaften tä- tig zu werden. Hier hat demnach mit der Staatsanwaltschaft ebenfalls ein Schuld- spruch zu ergehen.</w:t>
      </w:r>
    </w:p>
    <w:p>
      <w:r>
        <w:rPr>
          <w:b/>
        </w:rPr>
        <w:t>E. 4.2.4</w:t>
      </w:r>
    </w:p>
    <w:p>
      <w:r>
        <w:t>Der Beschuldigte ist nach dem Dargelegten der Übertretung im Sinne von § 40 AnwG ZH i.V.m. § 11 Abs. 1 lit. b AnwG ZH i.V.m. Art. 68 Abs. 2 lit. a ZPO schuldig zu sprechen. III. Sanktion, Widerruf und Vollzug 1. Allgemeines zur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