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SB220574 vom 2. März 2023</w:t>
      </w:r>
    </w:p>
    <w:p>
      <w:r>
        <w:t>ZH Obergericht, 2023-03-02, DE</w:t>
      </w:r>
    </w:p>
    <w:p>
      <w:r>
        <w:rPr>
          <w:b/>
        </w:rPr>
        <w:t xml:space="preserve">Quelle: </w:t>
      </w:r>
      <w:r>
        <w:t>https://mcp.opencaselaw.ch/entscheid/zh_obergericht_SB220574</w:t>
      </w:r>
    </w:p>
    <w:p>
      <w:r>
        <w:t>FR: ZH_OBERGERICHT SB220574 du 2 mars 2023</w:t>
      </w:r>
    </w:p>
    <w:p>
      <w:r>
        <w:t>IT: ZH_OBERGERICHT SB220574 del 2 marzo 2023</w:t>
      </w:r>
    </w:p>
    <w:p>
      <w:pPr>
        <w:pStyle w:val="Heading2"/>
      </w:pPr>
      <w:r>
        <w:t>Erwägungen</w:t>
      </w:r>
    </w:p>
    <w:p>
      <w:r>
        <w:rPr>
          <w:b/>
        </w:rPr>
        <w:t>E. 7</w:t>
      </w:r>
    </w:p>
    <w:p>
      <w:r>
        <w:t>Die Kosten des Berufungsverfahrens werden der Beschuldigten auferlegt.</w:t>
      </w:r>
    </w:p>
    <w:p>
      <w:r>
        <w:rPr>
          <w:b/>
        </w:rPr>
        <w:t>E. 8</w:t>
      </w:r>
    </w:p>
    <w:p>
      <w:r>
        <w:t>Schriftliche Mitteilung im Dispositiv an − die Verteidigung im Doppel für sich und zuhanden der Beschuldigten − die Staatsanwaltschaft See/Oberland sowie in vollständiger Ausfertigung an − die Verteidigung im Doppel für sich und zuhanden der Beschuldigten − die Staatsanwaltschaft See/Oberland und nach unbenütztem Ablauf der Rechtsmittelfrist bzw. Erledigung allfälli- ger Rechtsmittel an − die Vorinstanz − das Migrationsamt des Kantons Zürich</w:t>
      </w:r>
    </w:p>
    <w:p>
      <w:r>
        <w:t>- 13 - − das Strassenverkehrsamt des Kantons Zürich, Abteilung Administrativ- massnahmen, Richterliche Fahrverbote, 8090 Zürich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März 2023 Der Präsident: Die Gerichtsschreiberin: lic. iur. B. Amacker MLaw T. Künzle</w:t>
      </w:r>
    </w:p>
    <w:p>
      <w:r>
        <w:t>- 14 -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